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20" w:lineRule="atLeast"/>
        <w:jc w:val="center"/>
        <w:rPr>
          <w:rFonts w:hint="eastAsia" w:ascii="文星标宋" w:hAnsi="文星标宋" w:eastAsia="文星标宋"/>
          <w:color w:val="FF0000"/>
          <w:w w:val="66"/>
          <w:sz w:val="44"/>
          <w:szCs w:val="44"/>
        </w:rPr>
      </w:pPr>
    </w:p>
    <w:p>
      <w:pPr>
        <w:snapToGrid w:val="0"/>
        <w:spacing w:line="600" w:lineRule="atLeast"/>
        <w:jc w:val="center"/>
        <w:rPr>
          <w:rFonts w:ascii="方正小标宋_GBK" w:hAnsi="文星标宋" w:eastAsia="方正小标宋_GBK"/>
          <w:color w:val="FF0000"/>
          <w:w w:val="66"/>
          <w:sz w:val="140"/>
          <w:szCs w:val="140"/>
        </w:rPr>
      </w:pPr>
      <w:r>
        <w:rPr>
          <w:rFonts w:hint="eastAsia" w:ascii="方正小标宋_GBK" w:hAnsi="文星标宋" w:eastAsia="方正小标宋_GBK"/>
          <w:color w:val="FF0000"/>
          <w:w w:val="66"/>
          <w:sz w:val="140"/>
          <w:szCs w:val="140"/>
        </w:rPr>
        <w:t>中共青岛市委宣传部</w:t>
      </w:r>
    </w:p>
    <w:p>
      <w:pPr>
        <w:keepNext w:val="0"/>
        <w:keepLines w:val="0"/>
        <w:pageBreakBefore w:val="0"/>
        <w:kinsoku/>
        <w:wordWrap/>
        <w:overflowPunct/>
        <w:topLinePunct w:val="0"/>
        <w:autoSpaceDE/>
        <w:autoSpaceDN/>
        <w:bidi w:val="0"/>
        <w:spacing w:line="570" w:lineRule="exact"/>
        <w:textAlignment w:val="auto"/>
        <w:rPr>
          <w:sz w:val="32"/>
          <w:szCs w:val="32"/>
        </w:rPr>
      </w:pPr>
    </w:p>
    <w:p>
      <w:pPr>
        <w:keepNext w:val="0"/>
        <w:keepLines w:val="0"/>
        <w:pageBreakBefore w:val="0"/>
        <w:widowControl w:val="0"/>
        <w:kinsoku/>
        <w:wordWrap/>
        <w:overflowPunct/>
        <w:topLinePunct w:val="0"/>
        <w:autoSpaceDE/>
        <w:autoSpaceDN/>
        <w:bidi w:val="0"/>
        <w:adjustRightInd w:val="0"/>
        <w:snapToGrid w:val="0"/>
        <w:spacing w:line="570" w:lineRule="exact"/>
        <w:ind w:right="2"/>
        <w:jc w:val="center"/>
        <w:textAlignment w:val="auto"/>
        <w:rPr>
          <w:rFonts w:ascii="方正小标宋_GBK" w:hAnsi="宋体" w:eastAsia="方正小标宋_GBK"/>
          <w:sz w:val="44"/>
          <w:szCs w:val="44"/>
        </w:rPr>
      </w:pPr>
      <w:r>
        <w:rPr>
          <w:rFonts w:hint="eastAsia" w:ascii="方正小标宋_GBK" w:hAnsi="宋体" w:eastAsia="方正小标宋_GBK"/>
          <w:sz w:val="44"/>
          <w:szCs w:val="44"/>
        </w:rPr>
        <w:t>中共青岛市委宣传部</w:t>
      </w:r>
    </w:p>
    <w:p>
      <w:pPr>
        <w:keepNext w:val="0"/>
        <w:keepLines w:val="0"/>
        <w:pageBreakBefore w:val="0"/>
        <w:widowControl w:val="0"/>
        <w:kinsoku/>
        <w:wordWrap/>
        <w:overflowPunct/>
        <w:topLinePunct w:val="0"/>
        <w:autoSpaceDE/>
        <w:autoSpaceDN/>
        <w:bidi w:val="0"/>
        <w:adjustRightInd w:val="0"/>
        <w:snapToGrid w:val="0"/>
        <w:spacing w:line="570" w:lineRule="exact"/>
        <w:jc w:val="center"/>
        <w:textAlignment w:val="auto"/>
        <w:rPr>
          <w:rFonts w:ascii="方正小标宋_GBK" w:hAnsi="宋体" w:eastAsia="方正小标宋_GBK"/>
          <w:sz w:val="44"/>
          <w:szCs w:val="44"/>
        </w:rPr>
      </w:pPr>
      <w:r>
        <w:rPr>
          <w:rFonts w:hint="eastAsia" w:ascii="方正小标宋_GBK" w:hAnsi="宋体" w:eastAsia="方正小标宋_GBK"/>
          <w:sz w:val="44"/>
          <w:szCs w:val="44"/>
        </w:rPr>
        <w:t>关于做好2022年度青岛市社会科学规划</w:t>
      </w:r>
    </w:p>
    <w:p>
      <w:pPr>
        <w:keepNext w:val="0"/>
        <w:keepLines w:val="0"/>
        <w:pageBreakBefore w:val="0"/>
        <w:widowControl w:val="0"/>
        <w:kinsoku/>
        <w:wordWrap/>
        <w:overflowPunct/>
        <w:topLinePunct w:val="0"/>
        <w:autoSpaceDE/>
        <w:autoSpaceDN/>
        <w:bidi w:val="0"/>
        <w:adjustRightInd w:val="0"/>
        <w:snapToGrid w:val="0"/>
        <w:spacing w:line="570" w:lineRule="exact"/>
        <w:jc w:val="center"/>
        <w:textAlignment w:val="auto"/>
        <w:rPr>
          <w:rFonts w:ascii="方正小标宋_GBK" w:hAnsi="宋体" w:eastAsia="方正小标宋_GBK"/>
          <w:sz w:val="44"/>
        </w:rPr>
      </w:pPr>
      <w:r>
        <w:rPr>
          <w:rFonts w:hint="eastAsia" w:ascii="方正小标宋_GBK" w:hAnsi="宋体" w:eastAsia="方正小标宋_GBK"/>
          <w:sz w:val="44"/>
          <w:szCs w:val="44"/>
        </w:rPr>
        <w:t>研究项目申报工作的通知</w:t>
      </w:r>
    </w:p>
    <w:p>
      <w:pPr>
        <w:pStyle w:val="3"/>
        <w:keepNext w:val="0"/>
        <w:keepLines w:val="0"/>
        <w:pageBreakBefore w:val="0"/>
        <w:widowControl w:val="0"/>
        <w:kinsoku/>
        <w:wordWrap/>
        <w:overflowPunct/>
        <w:topLinePunct w:val="0"/>
        <w:autoSpaceDE/>
        <w:autoSpaceDN/>
        <w:bidi w:val="0"/>
        <w:snapToGrid w:val="0"/>
        <w:spacing w:line="570" w:lineRule="exact"/>
        <w:ind w:left="0" w:right="7" w:firstLine="600" w:firstLineChars="200"/>
        <w:textAlignment w:val="auto"/>
        <w:rPr>
          <w:rFonts w:hint="default"/>
        </w:rPr>
      </w:pPr>
    </w:p>
    <w:p>
      <w:pPr>
        <w:pStyle w:val="3"/>
        <w:keepNext w:val="0"/>
        <w:keepLines w:val="0"/>
        <w:pageBreakBefore w:val="0"/>
        <w:widowControl w:val="0"/>
        <w:kinsoku/>
        <w:wordWrap/>
        <w:overflowPunct/>
        <w:topLinePunct w:val="0"/>
        <w:autoSpaceDE/>
        <w:autoSpaceDN/>
        <w:bidi w:val="0"/>
        <w:snapToGrid w:val="0"/>
        <w:spacing w:line="570" w:lineRule="exact"/>
        <w:ind w:right="7"/>
        <w:textAlignment w:val="auto"/>
        <w:rPr>
          <w:rFonts w:hint="default" w:hAnsi="宋体" w:cs="宋体"/>
          <w:sz w:val="32"/>
          <w:szCs w:val="32"/>
        </w:rPr>
      </w:pPr>
      <w:r>
        <w:rPr>
          <w:sz w:val="32"/>
          <w:szCs w:val="32"/>
        </w:rPr>
        <w:t>各区、市党委宣传部，市委各部委、市直各党组（党委）宣传处（办公室），中央、省驻青各单位党委（党组）宣传处（办公室）</w:t>
      </w:r>
      <w:r>
        <w:rPr>
          <w:rFonts w:hAnsi="宋体" w:cs="宋体"/>
          <w:sz w:val="32"/>
          <w:szCs w:val="32"/>
        </w:rPr>
        <w:t>,驻青高校科研处(文科处)：</w:t>
      </w:r>
    </w:p>
    <w:p>
      <w:pPr>
        <w:pStyle w:val="3"/>
        <w:keepNext w:val="0"/>
        <w:keepLines w:val="0"/>
        <w:pageBreakBefore w:val="0"/>
        <w:widowControl w:val="0"/>
        <w:kinsoku/>
        <w:wordWrap/>
        <w:overflowPunct/>
        <w:topLinePunct w:val="0"/>
        <w:autoSpaceDE/>
        <w:autoSpaceDN/>
        <w:bidi w:val="0"/>
        <w:snapToGrid w:val="0"/>
        <w:spacing w:line="570" w:lineRule="exact"/>
        <w:ind w:left="0" w:right="7" w:firstLine="640" w:firstLineChars="200"/>
        <w:textAlignment w:val="auto"/>
        <w:rPr>
          <w:rFonts w:hint="default"/>
          <w:sz w:val="32"/>
          <w:szCs w:val="32"/>
        </w:rPr>
      </w:pPr>
      <w:r>
        <w:rPr>
          <w:sz w:val="32"/>
          <w:szCs w:val="32"/>
        </w:rPr>
        <w:t>现就做好2022年度青岛市社会科学规划研究项目（以下简称市社科规划项目）申报工作通知如下。</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sz w:val="32"/>
          <w:szCs w:val="32"/>
        </w:rPr>
      </w:pPr>
      <w:r>
        <w:rPr>
          <w:rFonts w:hint="eastAsia" w:ascii="黑体" w:eastAsia="黑体"/>
          <w:sz w:val="32"/>
          <w:szCs w:val="32"/>
        </w:rPr>
        <w:t>一、指导思想</w:t>
      </w:r>
    </w:p>
    <w:p>
      <w:pPr>
        <w:keepNext w:val="0"/>
        <w:keepLines w:val="0"/>
        <w:pageBreakBefore w:val="0"/>
        <w:widowControl w:val="0"/>
        <w:kinsoku/>
        <w:wordWrap/>
        <w:overflowPunct/>
        <w:topLinePunct w:val="0"/>
        <w:autoSpaceDE/>
        <w:autoSpaceDN/>
        <w:bidi w:val="0"/>
        <w:spacing w:line="570" w:lineRule="exact"/>
        <w:ind w:firstLine="640" w:firstLineChars="200"/>
        <w:textAlignment w:val="auto"/>
        <w:rPr>
          <w:rFonts w:hint="eastAsia"/>
          <w:bCs/>
          <w:sz w:val="32"/>
          <w:szCs w:val="32"/>
        </w:rPr>
      </w:pPr>
      <w:r>
        <w:rPr>
          <w:rFonts w:hint="eastAsia"/>
          <w:bCs/>
          <w:sz w:val="32"/>
          <w:szCs w:val="32"/>
        </w:rPr>
        <w:t>坚持以习近平新时代中国特色社会主义思想为指导，全面贯彻党的十九大和十九届历次全会精神，深入学习贯彻</w:t>
      </w:r>
      <w:r>
        <w:rPr>
          <w:rFonts w:hint="eastAsia" w:ascii="仿宋_GB2312" w:hAnsi="仿宋_GB2312" w:cs="仿宋_GB2312"/>
          <w:sz w:val="32"/>
          <w:szCs w:val="32"/>
        </w:rPr>
        <w:t>习近平总书记关于繁荣发展哲学社会科学的重要论述和对山东、对青岛工作的重要指示要求</w:t>
      </w:r>
      <w:r>
        <w:rPr>
          <w:rFonts w:hint="eastAsia"/>
          <w:bCs/>
          <w:sz w:val="32"/>
          <w:szCs w:val="32"/>
        </w:rPr>
        <w:t>，全面贯彻落实省委第十一届十三次、十四次全会精神和市</w:t>
      </w:r>
      <w:r>
        <w:rPr>
          <w:rFonts w:hint="eastAsia"/>
          <w:bCs/>
          <w:sz w:val="32"/>
          <w:szCs w:val="32"/>
          <w:lang w:val="en-US" w:eastAsia="zh-CN"/>
        </w:rPr>
        <w:t>第十三次党代会</w:t>
      </w:r>
      <w:r>
        <w:rPr>
          <w:rFonts w:hint="eastAsia"/>
          <w:bCs/>
          <w:sz w:val="32"/>
          <w:szCs w:val="32"/>
        </w:rPr>
        <w:t>精神，加强对青岛市经济社会发展重大理论与现实问题的研究，着力解决全市经济社会发展面临的新情况新问题，发挥市社科规划项目的示范引导作用</w:t>
      </w:r>
      <w:r>
        <w:rPr>
          <w:rFonts w:hint="eastAsia"/>
          <w:bCs/>
          <w:sz w:val="32"/>
          <w:szCs w:val="32"/>
          <w:lang w:eastAsia="zh-CN"/>
        </w:rPr>
        <w:t>，</w:t>
      </w:r>
      <w:r>
        <w:rPr>
          <w:rFonts w:hint="eastAsia"/>
          <w:bCs/>
          <w:sz w:val="32"/>
          <w:szCs w:val="32"/>
        </w:rPr>
        <w:t>为青岛建设新时代社会主义现代化国际大都市提供强有力的理论支撑和智力支持。</w:t>
      </w:r>
    </w:p>
    <w:p>
      <w:pPr>
        <w:keepNext w:val="0"/>
        <w:keepLines w:val="0"/>
        <w:pageBreakBefore w:val="0"/>
        <w:widowControl w:val="0"/>
        <w:kinsoku/>
        <w:wordWrap/>
        <w:overflowPunct/>
        <w:topLinePunct w:val="0"/>
        <w:autoSpaceDE/>
        <w:autoSpaceDN/>
        <w:bidi w:val="0"/>
        <w:spacing w:line="570" w:lineRule="exact"/>
        <w:ind w:firstLine="640" w:firstLineChars="200"/>
        <w:textAlignment w:val="auto"/>
        <w:rPr>
          <w:rFonts w:ascii="黑体" w:eastAsia="黑体"/>
          <w:sz w:val="32"/>
          <w:szCs w:val="32"/>
        </w:rPr>
      </w:pPr>
      <w:r>
        <w:rPr>
          <w:rFonts w:hint="eastAsia" w:ascii="黑体" w:eastAsia="黑体"/>
          <w:sz w:val="32"/>
          <w:szCs w:val="32"/>
        </w:rPr>
        <w:t>二、申报要求</w:t>
      </w:r>
    </w:p>
    <w:p>
      <w:pPr>
        <w:keepNext w:val="0"/>
        <w:keepLines w:val="0"/>
        <w:pageBreakBefore w:val="0"/>
        <w:widowControl w:val="0"/>
        <w:tabs>
          <w:tab w:val="left" w:pos="5928"/>
        </w:tabs>
        <w:kinsoku/>
        <w:wordWrap/>
        <w:overflowPunct/>
        <w:topLinePunct w:val="0"/>
        <w:autoSpaceDE/>
        <w:autoSpaceDN/>
        <w:bidi w:val="0"/>
        <w:adjustRightInd w:val="0"/>
        <w:snapToGrid w:val="0"/>
        <w:spacing w:line="570" w:lineRule="exact"/>
        <w:ind w:firstLine="640" w:firstLineChars="200"/>
        <w:textAlignment w:val="auto"/>
        <w:rPr>
          <w:rFonts w:ascii="仿宋_GB2312" w:hAnsi="宋体" w:cs="宋体"/>
          <w:sz w:val="32"/>
          <w:szCs w:val="32"/>
        </w:rPr>
      </w:pPr>
      <w:r>
        <w:rPr>
          <w:rFonts w:hint="eastAsia" w:ascii="楷体_GB2312" w:eastAsia="楷体_GB2312"/>
          <w:sz w:val="32"/>
          <w:szCs w:val="32"/>
        </w:rPr>
        <w:t>（一）选题要求。</w:t>
      </w:r>
      <w:r>
        <w:rPr>
          <w:rFonts w:hint="eastAsia" w:ascii="仿宋_GB2312" w:hAnsi="宋体" w:cs="宋体"/>
          <w:sz w:val="32"/>
          <w:szCs w:val="32"/>
        </w:rPr>
        <w:t>选题要坚持正确的政治方向、学术导向和价值取向，体现鲜明的时代特征、问题意识和创新意识，围绕中心、服务大局，以重大现实问题为主攻方向，坚持基础研究和应用研究并重，着力推出高水平的研究成果。基础研究要立足学术和学科发展前沿，力求具有原创性、开拓性和较高的学术思想价值，着力推进学科体系、学术体系、话语体系建设和创新。应用研究要着眼经济社会发展中的重大实际问题，</w:t>
      </w:r>
      <w:r>
        <w:rPr>
          <w:rFonts w:hint="eastAsia" w:ascii="仿宋_GB2312"/>
          <w:sz w:val="32"/>
          <w:szCs w:val="32"/>
        </w:rPr>
        <w:t>突出青岛地方特色和区域优势，</w:t>
      </w:r>
      <w:r>
        <w:rPr>
          <w:rFonts w:hint="eastAsia" w:ascii="仿宋_GB2312" w:hAnsi="宋体" w:cs="宋体"/>
          <w:sz w:val="32"/>
          <w:szCs w:val="32"/>
        </w:rPr>
        <w:t>力求具有现实性、针对性和较强的决策参考价值。课题名称的表述应科学、严谨、规范、简明。</w:t>
      </w:r>
    </w:p>
    <w:p>
      <w:pPr>
        <w:keepNext w:val="0"/>
        <w:keepLines w:val="0"/>
        <w:pageBreakBefore w:val="0"/>
        <w:widowControl w:val="0"/>
        <w:tabs>
          <w:tab w:val="left" w:pos="5928"/>
        </w:tabs>
        <w:kinsoku/>
        <w:wordWrap/>
        <w:overflowPunct/>
        <w:topLinePunct w:val="0"/>
        <w:autoSpaceDE/>
        <w:autoSpaceDN/>
        <w:bidi w:val="0"/>
        <w:adjustRightInd w:val="0"/>
        <w:snapToGrid w:val="0"/>
        <w:spacing w:line="570" w:lineRule="exact"/>
        <w:ind w:firstLine="640" w:firstLineChars="200"/>
        <w:textAlignment w:val="auto"/>
        <w:rPr>
          <w:rFonts w:hint="eastAsia" w:ascii="仿宋_GB2312" w:hAnsi="宋体" w:cs="宋体"/>
          <w:sz w:val="32"/>
          <w:szCs w:val="32"/>
          <w:lang w:eastAsia="zh-CN"/>
        </w:rPr>
      </w:pPr>
      <w:r>
        <w:rPr>
          <w:rFonts w:hint="eastAsia" w:ascii="楷体_GB2312" w:eastAsia="楷体_GB2312"/>
          <w:sz w:val="32"/>
          <w:szCs w:val="32"/>
        </w:rPr>
        <w:t>（二）申报资格。</w:t>
      </w:r>
      <w:r>
        <w:rPr>
          <w:rFonts w:hint="eastAsia" w:ascii="仿宋_GB2312" w:hAnsi="宋体" w:cs="宋体"/>
          <w:sz w:val="32"/>
          <w:szCs w:val="32"/>
        </w:rPr>
        <w:t>申报者应具有中级及以上专业技术职称，机关、企事业单位具有研究能力的人员可联合科研单位开展项目申报。项目负责人只能申报一个项目，参与其他年度项目合计不超过两项。已承担在研的市社科规划项目（包括市社科规划年度项目、招标项目、委托项目、中心项目、智库项目）的负责人，不能参加此次申报</w:t>
      </w:r>
      <w:r>
        <w:rPr>
          <w:rFonts w:hint="eastAsia" w:ascii="仿宋_GB2312" w:hAnsi="宋体" w:cs="宋体"/>
          <w:sz w:val="32"/>
          <w:szCs w:val="32"/>
          <w:lang w:eastAsia="zh-CN"/>
        </w:rPr>
        <w:t>。</w:t>
      </w:r>
    </w:p>
    <w:p>
      <w:pPr>
        <w:keepNext w:val="0"/>
        <w:keepLines w:val="0"/>
        <w:pageBreakBefore w:val="0"/>
        <w:widowControl w:val="0"/>
        <w:tabs>
          <w:tab w:val="left" w:pos="5928"/>
        </w:tabs>
        <w:kinsoku/>
        <w:wordWrap/>
        <w:overflowPunct/>
        <w:topLinePunct w:val="0"/>
        <w:autoSpaceDE/>
        <w:autoSpaceDN/>
        <w:bidi w:val="0"/>
        <w:adjustRightInd w:val="0"/>
        <w:snapToGrid w:val="0"/>
        <w:spacing w:line="570" w:lineRule="exact"/>
        <w:ind w:firstLine="640" w:firstLineChars="200"/>
        <w:textAlignment w:val="auto"/>
        <w:rPr>
          <w:rFonts w:ascii="仿宋_GB2312"/>
          <w:sz w:val="32"/>
          <w:szCs w:val="32"/>
        </w:rPr>
      </w:pPr>
      <w:r>
        <w:rPr>
          <w:rFonts w:hint="eastAsia" w:ascii="楷体_GB2312" w:eastAsia="楷体_GB2312"/>
          <w:sz w:val="32"/>
          <w:szCs w:val="32"/>
        </w:rPr>
        <w:t>（三）成果形式</w:t>
      </w:r>
      <w:r>
        <w:rPr>
          <w:rFonts w:hint="eastAsia" w:ascii="仿宋_GB2312"/>
          <w:sz w:val="32"/>
          <w:szCs w:val="32"/>
        </w:rPr>
        <w:t>。本年度申报项目，最终成果形式为论文、著作或研究报告。研究报告类成果，仅限应用对策类研究内容。</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ascii="仿宋_GB2312"/>
          <w:sz w:val="32"/>
          <w:szCs w:val="32"/>
        </w:rPr>
      </w:pPr>
      <w:r>
        <w:rPr>
          <w:rFonts w:hint="eastAsia" w:ascii="楷体_GB2312" w:eastAsia="楷体_GB2312"/>
          <w:sz w:val="32"/>
          <w:szCs w:val="32"/>
        </w:rPr>
        <w:t>（四）完成时间。</w:t>
      </w:r>
      <w:r>
        <w:rPr>
          <w:rFonts w:hint="eastAsia" w:ascii="仿宋_GB2312"/>
          <w:sz w:val="32"/>
          <w:szCs w:val="32"/>
        </w:rPr>
        <w:t>论文类研究成果的完成时间为1至2年；著作类研究成果的完成时间为2至</w:t>
      </w:r>
      <w:r>
        <w:rPr>
          <w:rFonts w:hint="eastAsia" w:ascii="仿宋_GB2312" w:hAnsi="宋体" w:cs="宋体"/>
          <w:sz w:val="32"/>
          <w:szCs w:val="32"/>
        </w:rPr>
        <w:t>3年；研究报告类研究成果完成后即可提报，最长研究时间不超过1年（均以立项通知书确定的立项时</w:t>
      </w:r>
      <w:r>
        <w:rPr>
          <w:rFonts w:hint="eastAsia" w:ascii="仿宋_GB2312"/>
          <w:sz w:val="32"/>
          <w:szCs w:val="32"/>
        </w:rPr>
        <w:t>间起算）。</w:t>
      </w:r>
    </w:p>
    <w:p>
      <w:pPr>
        <w:keepNext w:val="0"/>
        <w:keepLines w:val="0"/>
        <w:pageBreakBefore w:val="0"/>
        <w:widowControl w:val="0"/>
        <w:tabs>
          <w:tab w:val="left" w:pos="5928"/>
        </w:tabs>
        <w:kinsoku/>
        <w:wordWrap/>
        <w:overflowPunct/>
        <w:topLinePunct w:val="0"/>
        <w:autoSpaceDE/>
        <w:autoSpaceDN/>
        <w:bidi w:val="0"/>
        <w:adjustRightInd w:val="0"/>
        <w:snapToGrid w:val="0"/>
        <w:spacing w:line="570" w:lineRule="exact"/>
        <w:ind w:firstLine="640" w:firstLineChars="200"/>
        <w:textAlignment w:val="auto"/>
        <w:rPr>
          <w:rFonts w:ascii="仿宋_GB2312" w:hAnsi="宋体" w:cs="宋体"/>
          <w:sz w:val="32"/>
          <w:szCs w:val="32"/>
        </w:rPr>
      </w:pPr>
      <w:r>
        <w:rPr>
          <w:rFonts w:hint="eastAsia" w:ascii="楷体_GB2312" w:eastAsia="楷体_GB2312"/>
          <w:sz w:val="32"/>
          <w:szCs w:val="32"/>
        </w:rPr>
        <w:t>（五）结项要求。</w:t>
      </w:r>
      <w:r>
        <w:rPr>
          <w:rFonts w:hint="eastAsia" w:ascii="仿宋_GB2312" w:hAnsi="宋体" w:cs="宋体"/>
          <w:sz w:val="32"/>
          <w:szCs w:val="32"/>
        </w:rPr>
        <w:t>论文类研究成果应在《人民日报》《光明日报》《经济日报》《求是》杂志等中央媒体发表字数不少于1500字的文章；或在CSSCI来源期刊、全国中文核心期刊、在青高校和科研机构学术期刊、《大众日报》和《青岛日报》理论版发表字数不少于3000字的文章。</w:t>
      </w:r>
    </w:p>
    <w:p>
      <w:pPr>
        <w:keepNext w:val="0"/>
        <w:keepLines w:val="0"/>
        <w:pageBreakBefore w:val="0"/>
        <w:widowControl w:val="0"/>
        <w:tabs>
          <w:tab w:val="left" w:pos="5928"/>
        </w:tabs>
        <w:kinsoku/>
        <w:wordWrap/>
        <w:overflowPunct/>
        <w:topLinePunct w:val="0"/>
        <w:autoSpaceDE/>
        <w:autoSpaceDN/>
        <w:bidi w:val="0"/>
        <w:adjustRightInd w:val="0"/>
        <w:snapToGrid w:val="0"/>
        <w:spacing w:line="570" w:lineRule="exact"/>
        <w:ind w:firstLine="640" w:firstLineChars="200"/>
        <w:textAlignment w:val="auto"/>
        <w:rPr>
          <w:rFonts w:ascii="仿宋_GB2312" w:hAnsi="宋体" w:cs="宋体"/>
          <w:sz w:val="32"/>
          <w:szCs w:val="32"/>
        </w:rPr>
      </w:pPr>
      <w:r>
        <w:rPr>
          <w:rFonts w:hint="eastAsia" w:ascii="仿宋_GB2312" w:hAnsi="宋体" w:cs="宋体"/>
          <w:sz w:val="32"/>
          <w:szCs w:val="32"/>
        </w:rPr>
        <w:t>著作类研究成果应由国内出版社用国际标准统一书号出版。“青岛通史”专项成果须经青岛通史编纂委员会专家评审组审核通过后，方可出版。</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hint="eastAsia" w:ascii="仿宋_GB2312" w:hAnsi="宋体" w:cs="宋体"/>
          <w:sz w:val="32"/>
          <w:szCs w:val="32"/>
        </w:rPr>
      </w:pPr>
      <w:r>
        <w:rPr>
          <w:rFonts w:hint="eastAsia" w:ascii="仿宋_GB2312" w:hAnsi="宋体" w:cs="宋体"/>
          <w:sz w:val="32"/>
          <w:szCs w:val="32"/>
        </w:rPr>
        <w:t>研究报告类研究成果完成后，需提交正文不少于5000字的结项研究报告及不超过200字的内容摘要，由项目负责人所在单位科研部门及时报送至市社科规划办。市社科规划办组织专家审核研究成果，对达到质量要求的，编发《智库成果专刊》，向有关部门报送研究成果。研究报告类成果结项，需被《智库成果专刊》刊发。</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ascii="仿宋_GB2312"/>
          <w:sz w:val="32"/>
          <w:szCs w:val="32"/>
        </w:rPr>
      </w:pPr>
      <w:r>
        <w:rPr>
          <w:rFonts w:hint="eastAsia" w:ascii="仿宋_GB2312"/>
          <w:sz w:val="32"/>
          <w:szCs w:val="32"/>
        </w:rPr>
        <w:t>各类研究成果在出版、发表或刊发时，均应注明“2022年度青岛</w:t>
      </w:r>
      <w:r>
        <w:rPr>
          <w:rFonts w:ascii="仿宋_GB2312"/>
          <w:sz w:val="32"/>
          <w:szCs w:val="32"/>
        </w:rPr>
        <w:t>市社</w:t>
      </w:r>
      <w:r>
        <w:rPr>
          <w:rFonts w:hint="eastAsia" w:ascii="仿宋_GB2312"/>
          <w:sz w:val="32"/>
          <w:szCs w:val="32"/>
        </w:rPr>
        <w:t>会</w:t>
      </w:r>
      <w:r>
        <w:rPr>
          <w:rFonts w:ascii="仿宋_GB2312"/>
          <w:sz w:val="32"/>
          <w:szCs w:val="32"/>
        </w:rPr>
        <w:t>科</w:t>
      </w:r>
      <w:r>
        <w:rPr>
          <w:rFonts w:hint="eastAsia" w:ascii="仿宋_GB2312"/>
          <w:sz w:val="32"/>
          <w:szCs w:val="32"/>
        </w:rPr>
        <w:t>学</w:t>
      </w:r>
      <w:r>
        <w:rPr>
          <w:rFonts w:ascii="仿宋_GB2312"/>
          <w:sz w:val="32"/>
          <w:szCs w:val="32"/>
        </w:rPr>
        <w:t>规划</w:t>
      </w:r>
      <w:r>
        <w:rPr>
          <w:rFonts w:hint="eastAsia" w:ascii="仿宋_GB2312"/>
          <w:sz w:val="32"/>
          <w:szCs w:val="32"/>
        </w:rPr>
        <w:t>研究项目”，外文类结项材料均需提供中文译本。</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ascii="仿宋_GB2312" w:hAnsi="宋体" w:cs="宋体"/>
          <w:sz w:val="32"/>
          <w:szCs w:val="32"/>
        </w:rPr>
      </w:pPr>
      <w:r>
        <w:rPr>
          <w:rFonts w:hint="eastAsia" w:ascii="仿宋_GB2312"/>
          <w:sz w:val="32"/>
          <w:szCs w:val="32"/>
        </w:rPr>
        <w:t>获准立项的市社科规划项目，项目承担方要按照项目申请书设计进行研究。若有</w:t>
      </w:r>
      <w:r>
        <w:rPr>
          <w:rFonts w:hint="eastAsia" w:ascii="仿宋_GB2312" w:hAnsi="宋体" w:cs="宋体"/>
          <w:sz w:val="32"/>
          <w:szCs w:val="32"/>
        </w:rPr>
        <w:t>变更项目负责人、改变项目名称</w:t>
      </w:r>
      <w:r>
        <w:rPr>
          <w:rFonts w:hint="eastAsia" w:ascii="宋体" w:hAnsi="宋体" w:cs="宋体"/>
          <w:sz w:val="32"/>
          <w:szCs w:val="32"/>
        </w:rPr>
        <w:t>、</w:t>
      </w:r>
      <w:r>
        <w:rPr>
          <w:rFonts w:hint="eastAsia" w:ascii="仿宋_GB2312" w:hAnsi="宋体" w:cs="宋体"/>
          <w:sz w:val="32"/>
          <w:szCs w:val="32"/>
        </w:rPr>
        <w:t>改变最终成果形式、研究内容有重大调整、变更项目管理单位、变更或增补项目组成员、项目延期完成、中止项目协议、撤销项目等</w:t>
      </w:r>
      <w:r>
        <w:rPr>
          <w:rFonts w:hint="eastAsia" w:ascii="仿宋_GB2312"/>
          <w:sz w:val="32"/>
          <w:szCs w:val="32"/>
        </w:rPr>
        <w:t>重要事项变更的，</w:t>
      </w:r>
      <w:r>
        <w:rPr>
          <w:rFonts w:hint="eastAsia" w:ascii="仿宋_GB2312" w:hAnsi="宋体" w:cs="宋体"/>
          <w:sz w:val="32"/>
          <w:szCs w:val="32"/>
        </w:rPr>
        <w:t>应及时向市社科规划办提出书面申请并征得同意，于每年开展市社科规划项目结项工作后集中办理。</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ascii="黑体" w:eastAsia="黑体"/>
          <w:sz w:val="32"/>
          <w:szCs w:val="32"/>
        </w:rPr>
      </w:pPr>
      <w:r>
        <w:rPr>
          <w:rFonts w:hint="eastAsia" w:ascii="黑体" w:eastAsia="黑体"/>
          <w:sz w:val="32"/>
          <w:szCs w:val="32"/>
        </w:rPr>
        <w:t>三、评审办法</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ascii="仿宋_GB2312" w:hAnsi="宋体" w:cs="宋体"/>
          <w:sz w:val="32"/>
          <w:szCs w:val="32"/>
        </w:rPr>
      </w:pPr>
      <w:r>
        <w:rPr>
          <w:rFonts w:hint="eastAsia" w:ascii="楷体_GB2312" w:eastAsia="楷体_GB2312"/>
          <w:sz w:val="32"/>
          <w:szCs w:val="32"/>
        </w:rPr>
        <w:t>（一）评审程序。</w:t>
      </w:r>
      <w:r>
        <w:rPr>
          <w:rFonts w:hint="eastAsia" w:ascii="仿宋_GB2312" w:hAnsi="宋体" w:eastAsia="楷体_GB2312" w:cs="宋体"/>
          <w:sz w:val="32"/>
          <w:szCs w:val="32"/>
        </w:rPr>
        <w:t>2022</w:t>
      </w:r>
      <w:r>
        <w:rPr>
          <w:rFonts w:hint="eastAsia" w:ascii="仿宋_GB2312" w:hAnsi="宋体" w:cs="宋体"/>
          <w:sz w:val="32"/>
          <w:szCs w:val="32"/>
        </w:rPr>
        <w:t>年度市社科规划项目评审采取网络评审与会议评审相结合的方式进行。市社科规划办根据项目申报情况，组织社科评委开展网络评审；网络评审结果产生后，组织网络评审评委进行会议评审，复核网络评审结果；会议评审结果经网络公示后，提报审批。为提高市社科规划项目质量，确保评审的公正性，市社科规划办将邀请省内外社科专家参加网络评审。</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ascii="仿宋_GB2312"/>
          <w:sz w:val="32"/>
          <w:szCs w:val="32"/>
        </w:rPr>
      </w:pPr>
      <w:r>
        <w:rPr>
          <w:rFonts w:hint="eastAsia" w:ascii="楷体_GB2312" w:eastAsia="楷体_GB2312"/>
          <w:sz w:val="32"/>
          <w:szCs w:val="32"/>
        </w:rPr>
        <w:t>（二）经费支持。</w:t>
      </w:r>
      <w:r>
        <w:rPr>
          <w:rFonts w:hint="eastAsia" w:ascii="仿宋_GB2312" w:hAnsi="宋体" w:cs="宋体"/>
          <w:sz w:val="32"/>
          <w:szCs w:val="32"/>
        </w:rPr>
        <w:t>市社科规划项目均实行后期资助，</w:t>
      </w:r>
      <w:r>
        <w:rPr>
          <w:rFonts w:hint="eastAsia" w:ascii="仿宋_GB2312" w:hAnsi="宋体" w:cs="宋体"/>
          <w:spacing w:val="-6"/>
          <w:sz w:val="32"/>
          <w:szCs w:val="32"/>
        </w:rPr>
        <w:t>延期结项的项目不给予后期资助。</w:t>
      </w:r>
      <w:r>
        <w:rPr>
          <w:rFonts w:hint="eastAsia" w:ascii="仿宋_GB2312"/>
          <w:sz w:val="32"/>
          <w:szCs w:val="32"/>
        </w:rPr>
        <w:t>论文类研究成果每项资助不超过2万元，主要依据刊物影响力，区分不同档次进行资助。著作类研究成果每项资助不超过4万元，</w:t>
      </w:r>
      <w:r>
        <w:rPr>
          <w:rFonts w:hint="eastAsia" w:ascii="仿宋_GB2312" w:hAnsi="宋体" w:cs="宋体"/>
          <w:sz w:val="32"/>
          <w:szCs w:val="32"/>
        </w:rPr>
        <w:t>“青岛通史”专项成果每项资助不超过5万元</w:t>
      </w:r>
      <w:r>
        <w:rPr>
          <w:rFonts w:hint="eastAsia" w:ascii="仿宋_GB2312"/>
          <w:sz w:val="32"/>
          <w:szCs w:val="32"/>
        </w:rPr>
        <w:t>。研究报告类研究成果被</w:t>
      </w:r>
      <w:r>
        <w:rPr>
          <w:rFonts w:hint="eastAsia" w:ascii="仿宋_GB2312" w:hAnsi="宋体" w:cs="宋体"/>
          <w:sz w:val="32"/>
          <w:szCs w:val="32"/>
        </w:rPr>
        <w:t>《智库成果专刊》采用后，</w:t>
      </w:r>
      <w:r>
        <w:rPr>
          <w:rFonts w:hint="eastAsia" w:ascii="仿宋_GB2312"/>
          <w:sz w:val="32"/>
          <w:szCs w:val="32"/>
        </w:rPr>
        <w:t>每项资助不超过5万元。</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ascii="仿宋_GB2312"/>
          <w:sz w:val="32"/>
          <w:szCs w:val="32"/>
        </w:rPr>
      </w:pPr>
      <w:r>
        <w:rPr>
          <w:rFonts w:hint="eastAsia" w:ascii="楷体_GB2312" w:eastAsia="楷体_GB2312"/>
          <w:sz w:val="32"/>
          <w:szCs w:val="32"/>
        </w:rPr>
        <w:t>（三）监督形式。</w:t>
      </w:r>
      <w:r>
        <w:rPr>
          <w:rFonts w:hint="eastAsia" w:ascii="仿宋_GB2312"/>
          <w:sz w:val="32"/>
          <w:szCs w:val="32"/>
        </w:rPr>
        <w:t>为进一步增强市社科规划项目评审的公开、公正性，</w:t>
      </w:r>
      <w:r>
        <w:rPr>
          <w:rFonts w:hint="eastAsia" w:ascii="仿宋_GB2312" w:hAnsi="宋体" w:cs="宋体"/>
          <w:sz w:val="32"/>
          <w:szCs w:val="32"/>
        </w:rPr>
        <w:t>市社科规划办</w:t>
      </w:r>
      <w:r>
        <w:rPr>
          <w:rFonts w:hint="eastAsia" w:ascii="仿宋_GB2312"/>
          <w:sz w:val="32"/>
          <w:szCs w:val="32"/>
        </w:rPr>
        <w:t>邀请高校、科研机构专家学者及实际工作部门有关同志担任评审监督员，全程参与市社科规划项目立项、结项及评审工作。市社科规划项目申报的相关通知、表格及评审结果将在青宣网（</w:t>
      </w:r>
      <w:r>
        <w:fldChar w:fldCharType="begin"/>
      </w:r>
      <w:r>
        <w:instrText xml:space="preserve"> HYPERLINK "mailto:www.qdxc.gov.cn" </w:instrText>
      </w:r>
      <w:r>
        <w:fldChar w:fldCharType="separate"/>
      </w:r>
      <w:r>
        <w:rPr>
          <w:rFonts w:hint="eastAsia" w:ascii="仿宋_GB2312"/>
          <w:sz w:val="32"/>
          <w:szCs w:val="32"/>
        </w:rPr>
        <w:t>www.qdxc.gov.cn</w:t>
      </w:r>
      <w:r>
        <w:rPr>
          <w:rFonts w:hint="eastAsia" w:ascii="仿宋_GB2312"/>
          <w:sz w:val="32"/>
          <w:szCs w:val="32"/>
        </w:rPr>
        <w:fldChar w:fldCharType="end"/>
      </w:r>
      <w:r>
        <w:rPr>
          <w:rFonts w:hint="eastAsia" w:ascii="仿宋_GB2312"/>
          <w:sz w:val="32"/>
          <w:szCs w:val="32"/>
        </w:rPr>
        <w:t>）等本地网站及时发布。</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ascii="黑体" w:eastAsia="黑体"/>
          <w:sz w:val="32"/>
          <w:szCs w:val="32"/>
        </w:rPr>
      </w:pPr>
      <w:r>
        <w:rPr>
          <w:rFonts w:hint="eastAsia" w:ascii="黑体" w:eastAsia="黑体"/>
          <w:sz w:val="32"/>
          <w:szCs w:val="32"/>
        </w:rPr>
        <w:t>四、课题指南</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eastAsia" w:ascii="仿宋_GB2312"/>
          <w:sz w:val="32"/>
          <w:szCs w:val="32"/>
        </w:rPr>
      </w:pPr>
      <w:r>
        <w:rPr>
          <w:rFonts w:hint="eastAsia" w:ascii="仿宋_GB2312"/>
          <w:sz w:val="32"/>
          <w:szCs w:val="32"/>
        </w:rPr>
        <w:t>本指南所列条目主要规定的是研究范围和方向，不是具体题目。申请人可根据自己的学术专长和研究基础选择不同的研究角度、方法和侧重点，自行设计具体题目，也可结合全国、全省和全市经济社会发展实际，另行设计题目。</w:t>
      </w:r>
    </w:p>
    <w:p>
      <w:pPr>
        <w:keepNext w:val="0"/>
        <w:keepLines w:val="0"/>
        <w:pageBreakBefore w:val="0"/>
        <w:numPr>
          <w:ilvl w:val="0"/>
          <w:numId w:val="1"/>
        </w:numPr>
        <w:kinsoku/>
        <w:wordWrap/>
        <w:overflowPunct/>
        <w:topLinePunct w:val="0"/>
        <w:autoSpaceDE/>
        <w:autoSpaceDN/>
        <w:bidi w:val="0"/>
        <w:adjustRightInd w:val="0"/>
        <w:snapToGrid w:val="0"/>
        <w:spacing w:line="570" w:lineRule="exact"/>
        <w:ind w:firstLine="640" w:firstLineChars="200"/>
        <w:textAlignment w:val="auto"/>
        <w:rPr>
          <w:rFonts w:hint="eastAsia" w:ascii="楷体" w:hAnsi="楷体" w:eastAsia="楷体" w:cs="楷体"/>
          <w:bCs/>
          <w:sz w:val="32"/>
          <w:szCs w:val="32"/>
          <w:lang w:bidi="ar"/>
        </w:rPr>
      </w:pPr>
      <w:r>
        <w:rPr>
          <w:rFonts w:hint="eastAsia" w:ascii="楷体" w:hAnsi="楷体" w:eastAsia="楷体" w:cs="楷体"/>
          <w:bCs/>
          <w:sz w:val="32"/>
          <w:szCs w:val="32"/>
          <w:lang w:bidi="ar"/>
        </w:rPr>
        <w:t>习近平新时代中国特色社会主义思想选题研究</w:t>
      </w:r>
    </w:p>
    <w:p>
      <w:pPr>
        <w:keepNext w:val="0"/>
        <w:keepLines w:val="0"/>
        <w:pageBreakBefore w:val="0"/>
        <w:numPr>
          <w:ilvl w:val="0"/>
          <w:numId w:val="0"/>
        </w:numPr>
        <w:kinsoku/>
        <w:wordWrap/>
        <w:overflowPunct/>
        <w:topLinePunct w:val="0"/>
        <w:autoSpaceDE/>
        <w:autoSpaceDN/>
        <w:bidi w:val="0"/>
        <w:adjustRightInd w:val="0"/>
        <w:snapToGrid w:val="0"/>
        <w:spacing w:line="570" w:lineRule="exact"/>
        <w:ind w:firstLine="640" w:firstLineChars="200"/>
        <w:textAlignment w:val="auto"/>
        <w:rPr>
          <w:rFonts w:hint="eastAsia" w:ascii="仿宋_GB2312"/>
          <w:b w:val="0"/>
          <w:bCs w:val="0"/>
          <w:sz w:val="32"/>
          <w:szCs w:val="32"/>
        </w:rPr>
      </w:pPr>
      <w:r>
        <w:rPr>
          <w:rFonts w:hint="eastAsia" w:ascii="仿宋_GB2312" w:hAnsi="仿宋_GB2312" w:cs="仿宋_GB2312"/>
          <w:b w:val="0"/>
          <w:bCs w:val="0"/>
          <w:sz w:val="32"/>
          <w:szCs w:val="32"/>
          <w:lang w:val="en-US" w:eastAsia="zh-CN"/>
        </w:rPr>
        <w:t>1.</w:t>
      </w:r>
      <w:r>
        <w:rPr>
          <w:rFonts w:hint="eastAsia" w:ascii="仿宋_GB2312" w:hAnsi="仿宋_GB2312" w:eastAsia="仿宋_GB2312" w:cs="仿宋_GB2312"/>
          <w:b w:val="0"/>
          <w:bCs w:val="0"/>
          <w:sz w:val="32"/>
          <w:szCs w:val="32"/>
        </w:rPr>
        <w:t>习近平新时代中国特色社会主义思想在</w:t>
      </w:r>
      <w:r>
        <w:rPr>
          <w:rFonts w:hint="eastAsia" w:ascii="仿宋_GB2312" w:hAnsi="仿宋_GB2312" w:eastAsia="仿宋_GB2312" w:cs="仿宋_GB2312"/>
          <w:b w:val="0"/>
          <w:bCs w:val="0"/>
          <w:sz w:val="32"/>
          <w:szCs w:val="32"/>
          <w:lang w:eastAsia="zh-CN"/>
        </w:rPr>
        <w:t>马克思主义中国化进程</w:t>
      </w:r>
      <w:r>
        <w:rPr>
          <w:rFonts w:hint="eastAsia" w:ascii="仿宋_GB2312" w:hAnsi="仿宋_GB2312" w:eastAsia="仿宋_GB2312" w:cs="仿宋_GB2312"/>
          <w:b w:val="0"/>
          <w:bCs w:val="0"/>
          <w:sz w:val="32"/>
          <w:szCs w:val="32"/>
        </w:rPr>
        <w:t>中的历史地位和重大意义研究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ascii="仿宋_GB2312"/>
          <w:b w:val="0"/>
          <w:bCs w:val="0"/>
          <w:sz w:val="32"/>
          <w:szCs w:val="32"/>
        </w:rPr>
      </w:pPr>
      <w:r>
        <w:rPr>
          <w:rFonts w:hint="eastAsia" w:ascii="仿宋_GB2312"/>
          <w:b w:val="0"/>
          <w:bCs w:val="0"/>
          <w:sz w:val="32"/>
          <w:szCs w:val="32"/>
          <w:lang w:val="en-US" w:eastAsia="zh-CN"/>
        </w:rPr>
        <w:t>2.</w:t>
      </w:r>
      <w:r>
        <w:rPr>
          <w:rFonts w:hint="eastAsia" w:ascii="仿宋_GB2312"/>
          <w:b w:val="0"/>
          <w:bCs w:val="0"/>
          <w:sz w:val="32"/>
          <w:szCs w:val="32"/>
        </w:rPr>
        <w:t>习近平新时代中国特色社会主义思想理论体系构成研究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eastAsia" w:ascii="仿宋_GB2312"/>
          <w:b w:val="0"/>
          <w:bCs w:val="0"/>
          <w:sz w:val="32"/>
          <w:szCs w:val="32"/>
        </w:rPr>
      </w:pPr>
      <w:r>
        <w:rPr>
          <w:rFonts w:hint="eastAsia" w:ascii="仿宋_GB2312"/>
          <w:b w:val="0"/>
          <w:bCs w:val="0"/>
          <w:sz w:val="32"/>
          <w:szCs w:val="32"/>
          <w:lang w:val="en-US" w:eastAsia="zh-CN"/>
        </w:rPr>
        <w:t>3</w:t>
      </w:r>
      <w:r>
        <w:rPr>
          <w:rFonts w:hint="eastAsia" w:ascii="仿宋_GB2312"/>
          <w:b w:val="0"/>
          <w:bCs w:val="0"/>
          <w:sz w:val="32"/>
          <w:szCs w:val="32"/>
        </w:rPr>
        <w:t>.习近平经济思想、法治思想、强军思想、外交思想、生态文明思想研究（分专题分领域）</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eastAsia" w:ascii="仿宋_GB2312"/>
          <w:b w:val="0"/>
          <w:bCs w:val="0"/>
          <w:sz w:val="32"/>
          <w:szCs w:val="32"/>
        </w:rPr>
      </w:pPr>
      <w:r>
        <w:rPr>
          <w:rFonts w:hint="eastAsia" w:ascii="仿宋_GB2312"/>
          <w:b w:val="0"/>
          <w:bCs w:val="0"/>
          <w:sz w:val="32"/>
          <w:szCs w:val="32"/>
          <w:lang w:val="en-US" w:eastAsia="zh-CN"/>
        </w:rPr>
        <w:t>4</w:t>
      </w:r>
      <w:r>
        <w:rPr>
          <w:rFonts w:hint="eastAsia" w:ascii="仿宋_GB2312"/>
          <w:b w:val="0"/>
          <w:bCs w:val="0"/>
          <w:sz w:val="32"/>
          <w:szCs w:val="32"/>
        </w:rPr>
        <w:t>.习近平新时代中国特色社会主义思想的方法论研究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eastAsia" w:ascii="仿宋_GB2312"/>
          <w:b w:val="0"/>
          <w:bCs w:val="0"/>
          <w:sz w:val="32"/>
          <w:szCs w:val="32"/>
        </w:rPr>
      </w:pPr>
      <w:r>
        <w:rPr>
          <w:rFonts w:hint="eastAsia" w:ascii="仿宋_GB2312"/>
          <w:b w:val="0"/>
          <w:bCs w:val="0"/>
          <w:sz w:val="32"/>
          <w:szCs w:val="32"/>
          <w:lang w:val="en-US" w:eastAsia="zh-CN"/>
        </w:rPr>
        <w:t>5</w:t>
      </w:r>
      <w:r>
        <w:rPr>
          <w:rFonts w:hint="eastAsia" w:ascii="仿宋_GB2312"/>
          <w:b w:val="0"/>
          <w:bCs w:val="0"/>
          <w:sz w:val="32"/>
          <w:szCs w:val="32"/>
        </w:rPr>
        <w:t>.习近平新时代中国特色社会主义思想时代主题和科学体系研究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eastAsia" w:ascii="仿宋_GB2312"/>
          <w:b w:val="0"/>
          <w:bCs w:val="0"/>
          <w:sz w:val="32"/>
          <w:szCs w:val="32"/>
        </w:rPr>
      </w:pPr>
      <w:r>
        <w:rPr>
          <w:rFonts w:hint="eastAsia" w:ascii="仿宋_GB2312"/>
          <w:b w:val="0"/>
          <w:bCs w:val="0"/>
          <w:sz w:val="32"/>
          <w:szCs w:val="32"/>
          <w:lang w:val="en-US" w:eastAsia="zh-CN"/>
        </w:rPr>
        <w:t>6</w:t>
      </w:r>
      <w:r>
        <w:rPr>
          <w:rFonts w:hint="eastAsia" w:ascii="仿宋_GB2312"/>
          <w:b w:val="0"/>
          <w:bCs w:val="0"/>
          <w:sz w:val="32"/>
          <w:szCs w:val="32"/>
        </w:rPr>
        <w:t>.习近平新时代中国特色社会主义思想在中华文化和中国精神中的历史地位研究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7.</w:t>
      </w:r>
      <w:r>
        <w:rPr>
          <w:rFonts w:hint="eastAsia" w:ascii="仿宋_GB2312" w:hAnsi="仿宋_GB2312" w:eastAsia="仿宋_GB2312" w:cs="仿宋_GB2312"/>
          <w:b w:val="0"/>
          <w:bCs w:val="0"/>
          <w:sz w:val="32"/>
          <w:szCs w:val="32"/>
          <w:lang w:val="en-US" w:eastAsia="zh-CN"/>
        </w:rPr>
        <w:t>习近平新时代中国特色社会主义思想的原创性贡献、历史性贡献、世界性贡献研究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cs="仿宋_GB2312"/>
          <w:b w:val="0"/>
          <w:bCs w:val="0"/>
          <w:sz w:val="32"/>
          <w:szCs w:val="32"/>
          <w:lang w:val="en-US" w:eastAsia="zh-CN"/>
        </w:rPr>
        <w:t>8.</w:t>
      </w:r>
      <w:r>
        <w:rPr>
          <w:rFonts w:hint="eastAsia" w:ascii="仿宋_GB2312" w:hAnsi="仿宋_GB2312" w:eastAsia="仿宋_GB2312" w:cs="仿宋_GB2312"/>
          <w:b w:val="0"/>
          <w:bCs w:val="0"/>
          <w:sz w:val="32"/>
          <w:szCs w:val="32"/>
        </w:rPr>
        <w:t>习近平总书记关于完整、准确、全面贯彻新发展理念重要论述研究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eastAsia" w:ascii="仿宋_GB2312"/>
          <w:b w:val="0"/>
          <w:bCs w:val="0"/>
          <w:sz w:val="32"/>
          <w:szCs w:val="32"/>
        </w:rPr>
      </w:pPr>
      <w:r>
        <w:rPr>
          <w:rFonts w:hint="eastAsia" w:ascii="仿宋_GB2312"/>
          <w:b w:val="0"/>
          <w:bCs w:val="0"/>
          <w:sz w:val="32"/>
          <w:szCs w:val="32"/>
          <w:lang w:val="en-US" w:eastAsia="zh-CN"/>
        </w:rPr>
        <w:t>9.</w:t>
      </w:r>
      <w:r>
        <w:rPr>
          <w:rFonts w:hint="eastAsia" w:ascii="仿宋_GB2312"/>
          <w:b w:val="0"/>
          <w:bCs w:val="0"/>
          <w:sz w:val="32"/>
          <w:szCs w:val="32"/>
        </w:rPr>
        <w:t>习近平总书记关于共同富裕的重要论述研究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eastAsia" w:ascii="仿宋_GB2312"/>
          <w:b w:val="0"/>
          <w:bCs w:val="0"/>
          <w:sz w:val="32"/>
          <w:szCs w:val="32"/>
        </w:rPr>
      </w:pPr>
      <w:r>
        <w:rPr>
          <w:rFonts w:hint="eastAsia" w:ascii="仿宋_GB2312"/>
          <w:b w:val="0"/>
          <w:bCs w:val="0"/>
          <w:sz w:val="32"/>
          <w:szCs w:val="32"/>
          <w:lang w:val="en-US" w:eastAsia="zh-CN"/>
        </w:rPr>
        <w:t>10.</w:t>
      </w:r>
      <w:r>
        <w:rPr>
          <w:rFonts w:hint="eastAsia" w:ascii="仿宋_GB2312"/>
          <w:b w:val="0"/>
          <w:bCs w:val="0"/>
          <w:sz w:val="32"/>
          <w:szCs w:val="32"/>
        </w:rPr>
        <w:t>习近平总书记关于碳达峰、碳中和的重要论述研究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eastAsia" w:ascii="仿宋_GB2312"/>
          <w:b w:val="0"/>
          <w:bCs w:val="0"/>
          <w:sz w:val="32"/>
          <w:szCs w:val="32"/>
        </w:rPr>
      </w:pPr>
      <w:r>
        <w:rPr>
          <w:rFonts w:hint="eastAsia" w:ascii="仿宋_GB2312"/>
          <w:b w:val="0"/>
          <w:bCs w:val="0"/>
          <w:sz w:val="32"/>
          <w:szCs w:val="32"/>
          <w:lang w:val="en-US" w:eastAsia="zh-CN"/>
        </w:rPr>
        <w:t>11.</w:t>
      </w:r>
      <w:r>
        <w:rPr>
          <w:rFonts w:hint="eastAsia" w:ascii="仿宋_GB2312"/>
          <w:b w:val="0"/>
          <w:bCs w:val="0"/>
          <w:sz w:val="32"/>
          <w:szCs w:val="32"/>
        </w:rPr>
        <w:t>习近平总书记关于推动黄河流域生态保护和高质量发展的重要论述研究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eastAsia" w:ascii="仿宋_GB2312"/>
          <w:b w:val="0"/>
          <w:bCs w:val="0"/>
          <w:sz w:val="32"/>
          <w:szCs w:val="32"/>
        </w:rPr>
      </w:pPr>
      <w:r>
        <w:rPr>
          <w:rFonts w:hint="eastAsia" w:ascii="仿宋_GB2312"/>
          <w:b w:val="0"/>
          <w:bCs w:val="0"/>
          <w:sz w:val="32"/>
          <w:szCs w:val="32"/>
          <w:lang w:val="en-US" w:eastAsia="zh-CN"/>
        </w:rPr>
        <w:t>12.</w:t>
      </w:r>
      <w:r>
        <w:rPr>
          <w:rFonts w:hint="eastAsia" w:ascii="仿宋_GB2312"/>
          <w:b w:val="0"/>
          <w:bCs w:val="0"/>
          <w:sz w:val="32"/>
          <w:szCs w:val="32"/>
        </w:rPr>
        <w:t>习近平总书记关于科技创新的重要论述研究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cs="仿宋_GB2312"/>
          <w:b w:val="0"/>
          <w:bCs w:val="0"/>
          <w:sz w:val="32"/>
          <w:szCs w:val="32"/>
          <w:lang w:val="en-US" w:eastAsia="zh-CN"/>
        </w:rPr>
        <w:t>13.</w:t>
      </w:r>
      <w:r>
        <w:rPr>
          <w:rFonts w:hint="eastAsia" w:ascii="仿宋_GB2312" w:hAnsi="仿宋_GB2312" w:eastAsia="仿宋_GB2312" w:cs="仿宋_GB2312"/>
          <w:b w:val="0"/>
          <w:bCs w:val="0"/>
          <w:sz w:val="32"/>
          <w:szCs w:val="32"/>
        </w:rPr>
        <w:t>习近平总书记关于文艺工作重要论述与新时代马克思主义文艺理论研究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14.</w:t>
      </w:r>
      <w:r>
        <w:rPr>
          <w:rFonts w:hint="eastAsia" w:ascii="仿宋_GB2312" w:hAnsi="仿宋_GB2312" w:eastAsia="仿宋_GB2312" w:cs="仿宋_GB2312"/>
          <w:b w:val="0"/>
          <w:bCs w:val="0"/>
          <w:sz w:val="32"/>
          <w:szCs w:val="32"/>
          <w:lang w:val="en-US" w:eastAsia="zh-CN"/>
        </w:rPr>
        <w:t>习近平总书记关于立德树人的重要论述研究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eastAsia" w:ascii="仿宋_GB2312" w:eastAsia="仿宋_GB2312"/>
          <w:b w:val="0"/>
          <w:bCs w:val="0"/>
          <w:sz w:val="32"/>
          <w:szCs w:val="32"/>
        </w:rPr>
      </w:pPr>
      <w:r>
        <w:rPr>
          <w:rFonts w:hint="eastAsia" w:ascii="仿宋_GB2312"/>
          <w:b w:val="0"/>
          <w:bCs w:val="0"/>
          <w:sz w:val="32"/>
          <w:szCs w:val="32"/>
          <w:lang w:val="en-US" w:eastAsia="zh-CN"/>
        </w:rPr>
        <w:t>15.</w:t>
      </w:r>
      <w:r>
        <w:rPr>
          <w:rFonts w:hint="eastAsia" w:ascii="仿宋_GB2312" w:eastAsia="仿宋_GB2312"/>
          <w:b w:val="0"/>
          <w:bCs w:val="0"/>
          <w:sz w:val="32"/>
          <w:szCs w:val="32"/>
        </w:rPr>
        <w:t>习近平总书记新时代家庭观研究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eastAsia" w:ascii="仿宋_GB2312"/>
          <w:b w:val="0"/>
          <w:bCs w:val="0"/>
          <w:sz w:val="32"/>
          <w:szCs w:val="32"/>
        </w:rPr>
      </w:pPr>
      <w:r>
        <w:rPr>
          <w:rFonts w:hint="eastAsia" w:ascii="仿宋_GB2312"/>
          <w:b w:val="0"/>
          <w:bCs w:val="0"/>
          <w:sz w:val="32"/>
          <w:szCs w:val="32"/>
        </w:rPr>
        <w:t>1</w:t>
      </w:r>
      <w:r>
        <w:rPr>
          <w:rFonts w:hint="eastAsia" w:ascii="仿宋_GB2312"/>
          <w:b w:val="0"/>
          <w:bCs w:val="0"/>
          <w:sz w:val="32"/>
          <w:szCs w:val="32"/>
          <w:lang w:val="en-US" w:eastAsia="zh-CN"/>
        </w:rPr>
        <w:t>6.</w:t>
      </w:r>
      <w:r>
        <w:rPr>
          <w:rFonts w:hint="eastAsia" w:ascii="仿宋_GB2312"/>
          <w:b w:val="0"/>
          <w:bCs w:val="0"/>
          <w:sz w:val="32"/>
          <w:szCs w:val="32"/>
        </w:rPr>
        <w:t>马克思主义中国化的历史进程和基本经验研究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eastAsia" w:ascii="仿宋_GB2312"/>
          <w:b w:val="0"/>
          <w:bCs w:val="0"/>
          <w:sz w:val="32"/>
          <w:szCs w:val="32"/>
        </w:rPr>
      </w:pPr>
      <w:r>
        <w:rPr>
          <w:rFonts w:hint="eastAsia" w:ascii="仿宋_GB2312"/>
          <w:b w:val="0"/>
          <w:bCs w:val="0"/>
          <w:sz w:val="32"/>
          <w:szCs w:val="32"/>
        </w:rPr>
        <w:t>1</w:t>
      </w:r>
      <w:r>
        <w:rPr>
          <w:rFonts w:hint="eastAsia" w:ascii="仿宋_GB2312"/>
          <w:b w:val="0"/>
          <w:bCs w:val="0"/>
          <w:sz w:val="32"/>
          <w:szCs w:val="32"/>
          <w:lang w:val="en-US" w:eastAsia="zh-CN"/>
        </w:rPr>
        <w:t>7</w:t>
      </w:r>
      <w:r>
        <w:rPr>
          <w:rFonts w:hint="eastAsia" w:ascii="仿宋_GB2312"/>
          <w:b w:val="0"/>
          <w:bCs w:val="0"/>
          <w:sz w:val="32"/>
          <w:szCs w:val="32"/>
        </w:rPr>
        <w:t>.马克思主义中国化“两个结合”研究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cs="仿宋_GB2312"/>
          <w:b w:val="0"/>
          <w:bCs w:val="0"/>
          <w:sz w:val="32"/>
          <w:szCs w:val="32"/>
          <w:lang w:val="en-US" w:eastAsia="zh-CN"/>
        </w:rPr>
        <w:t>18.</w:t>
      </w:r>
      <w:r>
        <w:rPr>
          <w:rFonts w:hint="eastAsia" w:ascii="仿宋_GB2312" w:hAnsi="仿宋_GB2312" w:eastAsia="仿宋_GB2312" w:cs="仿宋_GB2312"/>
          <w:b w:val="0"/>
          <w:bCs w:val="0"/>
          <w:sz w:val="32"/>
          <w:szCs w:val="32"/>
        </w:rPr>
        <w:t>推动中华优秀传统文化创造性转化创新性发展的内在机制与实践路径研究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19.</w:t>
      </w:r>
      <w:r>
        <w:rPr>
          <w:rFonts w:hint="eastAsia" w:ascii="仿宋_GB2312" w:hAnsi="仿宋_GB2312" w:eastAsia="仿宋_GB2312" w:cs="仿宋_GB2312"/>
          <w:b w:val="0"/>
          <w:bCs w:val="0"/>
          <w:sz w:val="32"/>
          <w:szCs w:val="32"/>
          <w:lang w:val="en-US" w:eastAsia="zh-CN"/>
        </w:rPr>
        <w:t>山东贯彻落实习近平总书记重要指示要求实现“三个走在前”研究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ascii="仿宋_GB2312"/>
          <w:b w:val="0"/>
          <w:bCs w:val="0"/>
          <w:sz w:val="32"/>
          <w:szCs w:val="32"/>
        </w:rPr>
      </w:pPr>
      <w:r>
        <w:rPr>
          <w:rFonts w:hint="eastAsia" w:ascii="仿宋_GB2312"/>
          <w:b w:val="0"/>
          <w:bCs w:val="0"/>
          <w:sz w:val="32"/>
          <w:szCs w:val="32"/>
          <w:lang w:val="en-US" w:eastAsia="zh-CN"/>
        </w:rPr>
        <w:t>20.</w:t>
      </w:r>
      <w:r>
        <w:rPr>
          <w:rFonts w:hint="eastAsia" w:ascii="仿宋_GB2312"/>
          <w:b w:val="0"/>
          <w:bCs w:val="0"/>
          <w:sz w:val="32"/>
          <w:szCs w:val="32"/>
        </w:rPr>
        <w:t>习近平新时代中国特色社会主义思想在青岛的实践研究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ascii="楷体" w:hAnsi="楷体" w:eastAsia="楷体" w:cs="楷体"/>
          <w:b w:val="0"/>
          <w:bCs w:val="0"/>
          <w:sz w:val="32"/>
          <w:szCs w:val="32"/>
          <w:lang w:bidi="ar"/>
        </w:rPr>
      </w:pPr>
      <w:r>
        <w:rPr>
          <w:rFonts w:hint="eastAsia" w:ascii="楷体" w:hAnsi="楷体" w:eastAsia="楷体" w:cs="楷体"/>
          <w:b w:val="0"/>
          <w:bCs w:val="0"/>
          <w:sz w:val="32"/>
          <w:szCs w:val="32"/>
          <w:lang w:bidi="ar"/>
        </w:rPr>
        <w:t>（二）党史、党建选题研究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ascii="仿宋_GB2312" w:hAnsi="仿宋_GB2312" w:cs="仿宋_GB2312"/>
          <w:b w:val="0"/>
          <w:bCs w:val="0"/>
          <w:sz w:val="32"/>
          <w:szCs w:val="32"/>
        </w:rPr>
      </w:pPr>
      <w:r>
        <w:rPr>
          <w:rFonts w:hint="eastAsia" w:ascii="仿宋_GB2312" w:hAnsi="仿宋_GB2312" w:cs="仿宋_GB2312"/>
          <w:b w:val="0"/>
          <w:bCs w:val="0"/>
          <w:sz w:val="32"/>
          <w:szCs w:val="32"/>
        </w:rPr>
        <w:t>1.中国共产党百年奋斗的重大成就与历史经验研究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eastAsia" w:ascii="仿宋_GB2312" w:hAnsi="仿宋_GB2312" w:cs="仿宋_GB2312"/>
          <w:b w:val="0"/>
          <w:bCs w:val="0"/>
          <w:sz w:val="32"/>
          <w:szCs w:val="32"/>
        </w:rPr>
      </w:pPr>
      <w:r>
        <w:rPr>
          <w:rFonts w:hint="eastAsia" w:ascii="仿宋_GB2312" w:hAnsi="仿宋_GB2312" w:cs="仿宋_GB2312"/>
          <w:b w:val="0"/>
          <w:bCs w:val="0"/>
          <w:sz w:val="32"/>
          <w:szCs w:val="32"/>
        </w:rPr>
        <w:t>2.中国共产党百年历程中三个历史决议比较研究</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70" w:lineRule="exact"/>
        <w:ind w:right="0" w:firstLine="640" w:firstLineChars="200"/>
        <w:jc w:val="both"/>
        <w:textAlignment w:val="auto"/>
        <w:rPr>
          <w:rFonts w:hint="eastAsia" w:ascii="仿宋_GB2312" w:hAnsi="仿宋_GB2312" w:cs="仿宋_GB2312"/>
          <w:b w:val="0"/>
          <w:bCs w:val="0"/>
          <w:sz w:val="32"/>
          <w:szCs w:val="32"/>
        </w:rPr>
      </w:pPr>
      <w:r>
        <w:rPr>
          <w:rFonts w:hint="eastAsia" w:ascii="仿宋_GB2312" w:hAnsi="仿宋_GB2312" w:cs="仿宋_GB2312"/>
          <w:b w:val="0"/>
          <w:bCs w:val="0"/>
          <w:sz w:val="32"/>
          <w:szCs w:val="32"/>
          <w:lang w:val="en-US" w:eastAsia="zh-CN"/>
        </w:rPr>
        <w:t>3.</w:t>
      </w:r>
      <w:r>
        <w:rPr>
          <w:rFonts w:hint="eastAsia" w:ascii="仿宋_GB2312" w:hAnsi="仿宋_GB2312" w:eastAsia="仿宋_GB2312" w:cs="仿宋_GB2312"/>
          <w:b w:val="0"/>
          <w:bCs w:val="0"/>
          <w:sz w:val="32"/>
          <w:szCs w:val="32"/>
          <w:lang w:val="en-US" w:eastAsia="zh-CN"/>
        </w:rPr>
        <w:t>党的百年历程对世界历史进程深刻影响研究</w:t>
      </w:r>
    </w:p>
    <w:p>
      <w:pPr>
        <w:keepNext w:val="0"/>
        <w:keepLines w:val="0"/>
        <w:pageBreakBefore w:val="0"/>
        <w:numPr>
          <w:ilvl w:val="0"/>
          <w:numId w:val="0"/>
        </w:numPr>
        <w:kinsoku/>
        <w:wordWrap/>
        <w:overflowPunct/>
        <w:topLinePunct w:val="0"/>
        <w:autoSpaceDE/>
        <w:autoSpaceDN/>
        <w:bidi w:val="0"/>
        <w:adjustRightInd w:val="0"/>
        <w:snapToGrid w:val="0"/>
        <w:spacing w:line="570" w:lineRule="exact"/>
        <w:ind w:firstLine="640" w:firstLineChars="200"/>
        <w:textAlignment w:val="auto"/>
        <w:rPr>
          <w:rFonts w:hint="eastAsia" w:ascii="仿宋_GB2312" w:hAnsi="仿宋_GB2312" w:cs="仿宋_GB2312"/>
          <w:b w:val="0"/>
          <w:bCs w:val="0"/>
          <w:sz w:val="32"/>
          <w:szCs w:val="32"/>
        </w:rPr>
      </w:pPr>
      <w:r>
        <w:rPr>
          <w:rFonts w:hint="eastAsia" w:ascii="仿宋_GB2312" w:hAnsi="仿宋_GB2312" w:cs="仿宋_GB2312"/>
          <w:b w:val="0"/>
          <w:bCs w:val="0"/>
          <w:sz w:val="32"/>
          <w:szCs w:val="32"/>
          <w:lang w:val="en-US" w:eastAsia="zh-CN"/>
        </w:rPr>
        <w:t>4.</w:t>
      </w:r>
      <w:r>
        <w:rPr>
          <w:rFonts w:hint="eastAsia" w:ascii="仿宋_GB2312" w:hAnsi="仿宋_GB2312" w:cs="仿宋_GB2312"/>
          <w:b w:val="0"/>
          <w:bCs w:val="0"/>
          <w:sz w:val="32"/>
          <w:szCs w:val="32"/>
        </w:rPr>
        <w:t>“两个确立”对新时代党和国家事业发展的决定性意义研究</w:t>
      </w:r>
    </w:p>
    <w:p>
      <w:pPr>
        <w:keepNext w:val="0"/>
        <w:keepLines w:val="0"/>
        <w:pageBreakBefore w:val="0"/>
        <w:numPr>
          <w:ilvl w:val="0"/>
          <w:numId w:val="0"/>
        </w:numPr>
        <w:kinsoku/>
        <w:wordWrap/>
        <w:overflowPunct/>
        <w:topLinePunct w:val="0"/>
        <w:autoSpaceDE/>
        <w:autoSpaceDN/>
        <w:bidi w:val="0"/>
        <w:adjustRightInd w:val="0"/>
        <w:snapToGrid w:val="0"/>
        <w:spacing w:line="570" w:lineRule="exac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 xml:space="preserve">    </w:t>
      </w:r>
      <w:r>
        <w:rPr>
          <w:rFonts w:hint="eastAsia" w:ascii="仿宋_GB2312" w:eastAsia="仿宋_GB2312"/>
          <w:b w:val="0"/>
          <w:bCs w:val="0"/>
          <w:sz w:val="32"/>
          <w:szCs w:val="32"/>
          <w:lang w:val="en-US" w:eastAsia="zh-CN"/>
        </w:rPr>
        <w:t>5.</w:t>
      </w:r>
      <w:r>
        <w:rPr>
          <w:rFonts w:hint="eastAsia" w:ascii="仿宋_GB2312" w:eastAsia="仿宋_GB2312"/>
          <w:b w:val="0"/>
          <w:bCs w:val="0"/>
          <w:sz w:val="32"/>
          <w:szCs w:val="32"/>
        </w:rPr>
        <w:t>中国共产党百年来坚持理论创新基本经验研究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ascii="仿宋_GB2312" w:hAnsi="仿宋_GB2312" w:cs="仿宋_GB2312"/>
          <w:b w:val="0"/>
          <w:bCs w:val="0"/>
          <w:sz w:val="32"/>
          <w:szCs w:val="32"/>
        </w:rPr>
      </w:pPr>
      <w:r>
        <w:rPr>
          <w:rFonts w:hint="eastAsia" w:ascii="仿宋_GB2312" w:hAnsi="仿宋_GB2312" w:cs="仿宋_GB2312"/>
          <w:b w:val="0"/>
          <w:bCs w:val="0"/>
          <w:sz w:val="32"/>
          <w:szCs w:val="32"/>
          <w:lang w:val="en-US" w:eastAsia="zh-CN"/>
        </w:rPr>
        <w:t>6</w:t>
      </w:r>
      <w:r>
        <w:rPr>
          <w:rFonts w:hint="eastAsia" w:ascii="仿宋_GB2312" w:hAnsi="仿宋_GB2312" w:cs="仿宋_GB2312"/>
          <w:b w:val="0"/>
          <w:bCs w:val="0"/>
          <w:sz w:val="32"/>
          <w:szCs w:val="32"/>
        </w:rPr>
        <w:t>.习近平总书记关于坚持正确党史观的重要论述研究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ascii="仿宋_GB2312" w:hAnsi="仿宋_GB2312" w:cs="仿宋_GB2312"/>
          <w:b w:val="0"/>
          <w:bCs w:val="0"/>
          <w:sz w:val="32"/>
          <w:szCs w:val="32"/>
        </w:rPr>
      </w:pPr>
      <w:r>
        <w:rPr>
          <w:rFonts w:hint="eastAsia" w:ascii="仿宋_GB2312" w:hAnsi="仿宋_GB2312" w:cs="仿宋_GB2312"/>
          <w:b w:val="0"/>
          <w:bCs w:val="0"/>
          <w:sz w:val="32"/>
          <w:szCs w:val="32"/>
          <w:lang w:val="en-US" w:eastAsia="zh-CN"/>
        </w:rPr>
        <w:t>7</w:t>
      </w:r>
      <w:r>
        <w:rPr>
          <w:rFonts w:hint="eastAsia" w:ascii="仿宋_GB2312" w:hAnsi="仿宋_GB2312" w:cs="仿宋_GB2312"/>
          <w:b w:val="0"/>
          <w:bCs w:val="0"/>
          <w:sz w:val="32"/>
          <w:szCs w:val="32"/>
        </w:rPr>
        <w:t>.习近平总书记关于坚持党的全面领导的重要论述研究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ascii="仿宋_GB2312" w:hAnsi="仿宋_GB2312" w:cs="仿宋_GB2312"/>
          <w:b w:val="0"/>
          <w:bCs w:val="0"/>
          <w:sz w:val="32"/>
          <w:szCs w:val="32"/>
        </w:rPr>
      </w:pPr>
      <w:r>
        <w:rPr>
          <w:rFonts w:hint="eastAsia" w:ascii="仿宋_GB2312" w:hAnsi="仿宋_GB2312" w:cs="仿宋_GB2312"/>
          <w:b w:val="0"/>
          <w:bCs w:val="0"/>
          <w:sz w:val="32"/>
          <w:szCs w:val="32"/>
          <w:lang w:val="en-US" w:eastAsia="zh-CN"/>
        </w:rPr>
        <w:t>8</w:t>
      </w:r>
      <w:r>
        <w:rPr>
          <w:rFonts w:hint="eastAsia" w:ascii="仿宋_GB2312" w:hAnsi="仿宋_GB2312" w:cs="仿宋_GB2312"/>
          <w:b w:val="0"/>
          <w:bCs w:val="0"/>
          <w:sz w:val="32"/>
          <w:szCs w:val="32"/>
        </w:rPr>
        <w:t>.习近平总书记关于坚持不懈把全面从严治党向纵深推进的重要论述研究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ascii="仿宋_GB2312" w:hAnsi="仿宋_GB2312" w:cs="仿宋_GB2312"/>
          <w:b w:val="0"/>
          <w:bCs w:val="0"/>
          <w:sz w:val="32"/>
          <w:szCs w:val="32"/>
        </w:rPr>
      </w:pPr>
      <w:r>
        <w:rPr>
          <w:rFonts w:hint="eastAsia" w:ascii="仿宋_GB2312" w:hAnsi="仿宋_GB2312" w:cs="仿宋_GB2312"/>
          <w:b w:val="0"/>
          <w:bCs w:val="0"/>
          <w:sz w:val="32"/>
          <w:szCs w:val="32"/>
          <w:lang w:val="en-US" w:eastAsia="zh-CN"/>
        </w:rPr>
        <w:t>9</w:t>
      </w:r>
      <w:r>
        <w:rPr>
          <w:rFonts w:hint="eastAsia" w:ascii="仿宋_GB2312" w:hAnsi="仿宋_GB2312" w:cs="仿宋_GB2312"/>
          <w:b w:val="0"/>
          <w:bCs w:val="0"/>
          <w:sz w:val="32"/>
          <w:szCs w:val="32"/>
        </w:rPr>
        <w:t>.中国共产党依靠党的自我革命跳出历史周期率的成功路径研究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ascii="仿宋_GB2312" w:hAnsi="仿宋_GB2312" w:cs="仿宋_GB2312"/>
          <w:b w:val="0"/>
          <w:bCs w:val="0"/>
          <w:sz w:val="32"/>
          <w:szCs w:val="32"/>
        </w:rPr>
      </w:pPr>
      <w:r>
        <w:rPr>
          <w:rFonts w:hint="eastAsia" w:ascii="仿宋_GB2312" w:hAnsi="仿宋_GB2312" w:cs="仿宋_GB2312"/>
          <w:b w:val="0"/>
          <w:bCs w:val="0"/>
          <w:sz w:val="32"/>
          <w:szCs w:val="32"/>
          <w:lang w:val="en-US" w:eastAsia="zh-CN"/>
        </w:rPr>
        <w:t>10</w:t>
      </w:r>
      <w:r>
        <w:rPr>
          <w:rFonts w:hint="eastAsia" w:ascii="仿宋_GB2312" w:hAnsi="仿宋_GB2312" w:cs="仿宋_GB2312"/>
          <w:b w:val="0"/>
          <w:bCs w:val="0"/>
          <w:sz w:val="32"/>
          <w:szCs w:val="32"/>
        </w:rPr>
        <w:t>.中国共产党长期执政的历史必然性研究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ascii="仿宋_GB2312" w:hAnsi="仿宋_GB2312" w:cs="仿宋_GB2312"/>
          <w:b w:val="0"/>
          <w:bCs w:val="0"/>
          <w:sz w:val="32"/>
          <w:szCs w:val="32"/>
        </w:rPr>
      </w:pPr>
      <w:r>
        <w:rPr>
          <w:rFonts w:hint="eastAsia" w:ascii="仿宋_GB2312" w:hAnsi="仿宋_GB2312" w:cs="仿宋_GB2312"/>
          <w:b w:val="0"/>
          <w:bCs w:val="0"/>
          <w:sz w:val="32"/>
          <w:szCs w:val="32"/>
          <w:lang w:val="en-US" w:eastAsia="zh-CN"/>
        </w:rPr>
        <w:t>11</w:t>
      </w:r>
      <w:r>
        <w:rPr>
          <w:rFonts w:hint="eastAsia" w:ascii="仿宋_GB2312" w:hAnsi="仿宋_GB2312" w:cs="仿宋_GB2312"/>
          <w:b w:val="0"/>
          <w:bCs w:val="0"/>
          <w:sz w:val="32"/>
          <w:szCs w:val="32"/>
        </w:rPr>
        <w:t>.中国共产党人精神谱系研究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ascii="仿宋_GB2312" w:hAnsi="仿宋_GB2312" w:cs="仿宋_GB2312"/>
          <w:b w:val="0"/>
          <w:bCs w:val="0"/>
          <w:sz w:val="32"/>
          <w:szCs w:val="32"/>
        </w:rPr>
      </w:pPr>
      <w:r>
        <w:rPr>
          <w:rFonts w:hint="eastAsia" w:ascii="仿宋_GB2312" w:hAnsi="仿宋_GB2312" w:cs="仿宋_GB2312"/>
          <w:b w:val="0"/>
          <w:bCs w:val="0"/>
          <w:sz w:val="32"/>
          <w:szCs w:val="32"/>
          <w:lang w:val="en-US" w:eastAsia="zh-CN"/>
        </w:rPr>
        <w:t>12</w:t>
      </w:r>
      <w:r>
        <w:rPr>
          <w:rFonts w:hint="eastAsia" w:ascii="仿宋_GB2312" w:hAnsi="仿宋_GB2312" w:cs="仿宋_GB2312"/>
          <w:b w:val="0"/>
          <w:bCs w:val="0"/>
          <w:sz w:val="32"/>
          <w:szCs w:val="32"/>
        </w:rPr>
        <w:t>.中国共产党基层党建经验研究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ascii="仿宋_GB2312" w:hAnsi="仿宋_GB2312" w:cs="仿宋_GB2312"/>
          <w:b w:val="0"/>
          <w:bCs w:val="0"/>
          <w:sz w:val="32"/>
          <w:szCs w:val="32"/>
        </w:rPr>
      </w:pPr>
      <w:r>
        <w:rPr>
          <w:rFonts w:hint="eastAsia" w:ascii="仿宋_GB2312" w:hAnsi="仿宋_GB2312" w:cs="仿宋_GB2312"/>
          <w:b w:val="0"/>
          <w:bCs w:val="0"/>
          <w:sz w:val="32"/>
          <w:szCs w:val="32"/>
          <w:lang w:val="en-US" w:eastAsia="zh-CN"/>
        </w:rPr>
        <w:t>13</w:t>
      </w:r>
      <w:r>
        <w:rPr>
          <w:rFonts w:hint="eastAsia" w:ascii="仿宋_GB2312" w:hAnsi="仿宋_GB2312" w:cs="仿宋_GB2312"/>
          <w:b w:val="0"/>
          <w:bCs w:val="0"/>
          <w:sz w:val="32"/>
          <w:szCs w:val="32"/>
        </w:rPr>
        <w:t>.新时代党管人才的战略任务与实现路径研究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ascii="仿宋_GB2312" w:hAnsi="仿宋_GB2312" w:cs="仿宋_GB2312"/>
          <w:b w:val="0"/>
          <w:bCs w:val="0"/>
          <w:sz w:val="32"/>
          <w:szCs w:val="32"/>
        </w:rPr>
      </w:pPr>
      <w:r>
        <w:rPr>
          <w:rFonts w:hint="eastAsia" w:ascii="仿宋_GB2312" w:hAnsi="仿宋_GB2312" w:cs="仿宋_GB2312"/>
          <w:b w:val="0"/>
          <w:bCs w:val="0"/>
          <w:sz w:val="32"/>
          <w:szCs w:val="32"/>
          <w:lang w:val="en-US" w:eastAsia="zh-CN"/>
        </w:rPr>
        <w:t>14</w:t>
      </w:r>
      <w:r>
        <w:rPr>
          <w:rFonts w:hint="eastAsia" w:ascii="仿宋_GB2312" w:hAnsi="仿宋_GB2312" w:cs="仿宋_GB2312"/>
          <w:b w:val="0"/>
          <w:bCs w:val="0"/>
          <w:sz w:val="32"/>
          <w:szCs w:val="32"/>
        </w:rPr>
        <w:t>.中国共产党百年宣传思想文化工作历程研究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ascii="仿宋_GB2312" w:hAnsi="仿宋_GB2312" w:cs="仿宋_GB2312"/>
          <w:b w:val="0"/>
          <w:bCs w:val="0"/>
          <w:sz w:val="32"/>
          <w:szCs w:val="32"/>
        </w:rPr>
      </w:pPr>
      <w:r>
        <w:rPr>
          <w:rFonts w:hint="eastAsia" w:ascii="仿宋_GB2312" w:hAnsi="仿宋_GB2312" w:cs="仿宋_GB2312"/>
          <w:b w:val="0"/>
          <w:bCs w:val="0"/>
          <w:sz w:val="32"/>
          <w:szCs w:val="32"/>
          <w:lang w:val="en-US" w:eastAsia="zh-CN"/>
        </w:rPr>
        <w:t>15</w:t>
      </w:r>
      <w:r>
        <w:rPr>
          <w:rFonts w:hint="eastAsia" w:ascii="仿宋_GB2312" w:hAnsi="仿宋_GB2312" w:cs="仿宋_GB2312"/>
          <w:b w:val="0"/>
          <w:bCs w:val="0"/>
          <w:sz w:val="32"/>
          <w:szCs w:val="32"/>
        </w:rPr>
        <w:t>.中国共产党百年来意识形态工作基本经验研究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eastAsia" w:ascii="仿宋_GB2312" w:hAnsi="仿宋_GB2312" w:cs="仿宋_GB2312"/>
          <w:b w:val="0"/>
          <w:bCs w:val="0"/>
          <w:sz w:val="32"/>
          <w:szCs w:val="32"/>
        </w:rPr>
      </w:pPr>
      <w:r>
        <w:rPr>
          <w:rFonts w:hint="eastAsia" w:ascii="仿宋_GB2312" w:hAnsi="仿宋_GB2312" w:cs="仿宋_GB2312"/>
          <w:b w:val="0"/>
          <w:bCs w:val="0"/>
          <w:sz w:val="32"/>
          <w:szCs w:val="32"/>
        </w:rPr>
        <w:t>1</w:t>
      </w:r>
      <w:r>
        <w:rPr>
          <w:rFonts w:hint="eastAsia" w:ascii="仿宋_GB2312" w:hAnsi="仿宋_GB2312" w:cs="仿宋_GB2312"/>
          <w:b w:val="0"/>
          <w:bCs w:val="0"/>
          <w:sz w:val="32"/>
          <w:szCs w:val="32"/>
          <w:lang w:val="en-US" w:eastAsia="zh-CN"/>
        </w:rPr>
        <w:t>6</w:t>
      </w:r>
      <w:r>
        <w:rPr>
          <w:rFonts w:hint="eastAsia" w:ascii="仿宋_GB2312" w:hAnsi="仿宋_GB2312" w:cs="仿宋_GB2312"/>
          <w:b w:val="0"/>
          <w:bCs w:val="0"/>
          <w:sz w:val="32"/>
          <w:szCs w:val="32"/>
        </w:rPr>
        <w:t>.新时代党的群众工作创新研究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eastAsia" w:ascii="仿宋_GB2312" w:hAnsi="仿宋_GB2312" w:cs="仿宋_GB2312"/>
          <w:b w:val="0"/>
          <w:bCs w:val="0"/>
          <w:sz w:val="32"/>
          <w:szCs w:val="32"/>
        </w:rPr>
      </w:pPr>
      <w:r>
        <w:rPr>
          <w:rFonts w:hint="eastAsia" w:ascii="仿宋_GB2312" w:hAnsi="仿宋_GB2312" w:cs="仿宋_GB2312"/>
          <w:b w:val="0"/>
          <w:bCs w:val="0"/>
          <w:sz w:val="32"/>
          <w:szCs w:val="32"/>
          <w:lang w:val="en-US" w:eastAsia="zh-CN"/>
        </w:rPr>
        <w:t>17.</w:t>
      </w:r>
      <w:r>
        <w:rPr>
          <w:rFonts w:hint="eastAsia" w:ascii="仿宋_GB2312" w:hAnsi="仿宋_GB2312" w:cs="仿宋_GB2312"/>
          <w:b w:val="0"/>
          <w:bCs w:val="0"/>
          <w:sz w:val="32"/>
          <w:szCs w:val="32"/>
        </w:rPr>
        <w:t>青岛市推动党史学习教育常态化长效化研究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ascii="仿宋_GB2312" w:hAnsi="仿宋_GB2312" w:cs="仿宋_GB2312"/>
          <w:b w:val="0"/>
          <w:bCs w:val="0"/>
          <w:color w:val="auto"/>
          <w:sz w:val="32"/>
          <w:szCs w:val="32"/>
        </w:rPr>
      </w:pPr>
      <w:r>
        <w:rPr>
          <w:rFonts w:hint="eastAsia" w:ascii="仿宋_GB2312" w:hAnsi="仿宋_GB2312" w:cs="仿宋_GB2312"/>
          <w:b w:val="0"/>
          <w:bCs w:val="0"/>
          <w:color w:val="auto"/>
          <w:sz w:val="32"/>
          <w:szCs w:val="32"/>
        </w:rPr>
        <w:t>1</w:t>
      </w:r>
      <w:r>
        <w:rPr>
          <w:rFonts w:hint="eastAsia" w:ascii="仿宋_GB2312" w:hAnsi="仿宋_GB2312" w:cs="仿宋_GB2312"/>
          <w:b w:val="0"/>
          <w:bCs w:val="0"/>
          <w:color w:val="auto"/>
          <w:sz w:val="32"/>
          <w:szCs w:val="32"/>
          <w:lang w:val="en-US" w:eastAsia="zh-CN"/>
        </w:rPr>
        <w:t>8</w:t>
      </w:r>
      <w:r>
        <w:rPr>
          <w:rFonts w:hint="eastAsia" w:ascii="仿宋_GB2312" w:hAnsi="仿宋_GB2312" w:cs="仿宋_GB2312"/>
          <w:b w:val="0"/>
          <w:bCs w:val="0"/>
          <w:color w:val="auto"/>
          <w:sz w:val="32"/>
          <w:szCs w:val="32"/>
        </w:rPr>
        <w:t>.深化拓展“莱西会议”经验研究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eastAsia" w:ascii="仿宋_GB2312"/>
          <w:b w:val="0"/>
          <w:bCs w:val="0"/>
          <w:color w:val="auto"/>
          <w:sz w:val="32"/>
          <w:szCs w:val="32"/>
          <w:lang w:val="en-US" w:eastAsia="zh-CN"/>
        </w:rPr>
      </w:pPr>
      <w:r>
        <w:rPr>
          <w:rFonts w:hint="eastAsia" w:ascii="仿宋_GB2312" w:hAnsi="仿宋_GB2312" w:cs="仿宋_GB2312"/>
          <w:b w:val="0"/>
          <w:bCs w:val="0"/>
          <w:color w:val="auto"/>
          <w:sz w:val="32"/>
          <w:szCs w:val="32"/>
          <w:lang w:val="en-US" w:eastAsia="zh-CN"/>
        </w:rPr>
        <w:t>19.</w:t>
      </w:r>
      <w:r>
        <w:rPr>
          <w:rFonts w:hint="eastAsia" w:ascii="仿宋_GB2312"/>
          <w:b w:val="0"/>
          <w:bCs w:val="0"/>
          <w:color w:val="auto"/>
          <w:sz w:val="32"/>
          <w:szCs w:val="32"/>
          <w:lang w:val="en-US" w:eastAsia="zh-CN"/>
        </w:rPr>
        <w:t>新形势下加强各领域党建工作研究</w:t>
      </w:r>
    </w:p>
    <w:p>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570" w:lineRule="exact"/>
        <w:ind w:right="0" w:rightChars="0" w:firstLine="640" w:firstLineChars="200"/>
        <w:jc w:val="both"/>
        <w:textAlignment w:val="auto"/>
        <w:rPr>
          <w:rFonts w:hint="default" w:ascii="仿宋_GB2312"/>
          <w:b w:val="0"/>
          <w:bCs w:val="0"/>
          <w:color w:val="auto"/>
          <w:sz w:val="32"/>
          <w:szCs w:val="32"/>
          <w:lang w:val="en-US" w:eastAsia="zh-CN"/>
        </w:rPr>
      </w:pPr>
      <w:r>
        <w:rPr>
          <w:rFonts w:hint="eastAsia" w:ascii="仿宋_GB2312" w:hAnsi="仿宋_GB2312" w:cs="仿宋_GB2312"/>
          <w:b w:val="0"/>
          <w:bCs w:val="0"/>
          <w:sz w:val="32"/>
          <w:szCs w:val="32"/>
          <w:lang w:val="en-US" w:eastAsia="zh-CN"/>
        </w:rPr>
        <w:t>20.</w:t>
      </w:r>
      <w:r>
        <w:rPr>
          <w:rFonts w:hint="eastAsia" w:ascii="仿宋_GB2312" w:hAnsi="仿宋_GB2312" w:eastAsia="仿宋_GB2312" w:cs="仿宋_GB2312"/>
          <w:b w:val="0"/>
          <w:bCs w:val="0"/>
          <w:sz w:val="32"/>
          <w:szCs w:val="32"/>
          <w:lang w:val="en-US" w:eastAsia="zh-CN"/>
        </w:rPr>
        <w:t>新时代党的建设学科体系、学术体系、话语体系建设研究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ascii="楷体" w:hAnsi="楷体" w:eastAsia="楷体" w:cs="楷体"/>
          <w:b w:val="0"/>
          <w:bCs w:val="0"/>
          <w:sz w:val="32"/>
          <w:szCs w:val="32"/>
          <w:lang w:bidi="ar"/>
        </w:rPr>
      </w:pPr>
      <w:r>
        <w:rPr>
          <w:rFonts w:hint="eastAsia" w:ascii="楷体" w:hAnsi="楷体" w:eastAsia="楷体" w:cs="楷体"/>
          <w:b w:val="0"/>
          <w:bCs w:val="0"/>
          <w:sz w:val="32"/>
          <w:szCs w:val="32"/>
          <w:lang w:bidi="ar"/>
        </w:rPr>
        <w:t>（三）青岛市第十三次党代会重要选题研究</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ascii="仿宋_GB2312" w:hAnsi="仿宋_GB2312" w:cs="仿宋_GB2312"/>
          <w:b w:val="0"/>
          <w:bCs w:val="0"/>
          <w:sz w:val="32"/>
          <w:szCs w:val="32"/>
        </w:rPr>
      </w:pPr>
      <w:r>
        <w:rPr>
          <w:rFonts w:hint="eastAsia" w:ascii="仿宋_GB2312" w:hAnsi="仿宋_GB2312" w:cs="仿宋_GB2312"/>
          <w:b w:val="0"/>
          <w:bCs w:val="0"/>
          <w:sz w:val="32"/>
          <w:szCs w:val="32"/>
        </w:rPr>
        <w:t>1.增强青岛综合发展实力研究</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ascii="仿宋_GB2312" w:hAnsi="仿宋_GB2312" w:cs="仿宋_GB2312"/>
          <w:b w:val="0"/>
          <w:bCs w:val="0"/>
          <w:sz w:val="32"/>
          <w:szCs w:val="32"/>
        </w:rPr>
      </w:pPr>
      <w:r>
        <w:rPr>
          <w:rFonts w:hint="eastAsia" w:ascii="仿宋_GB2312" w:hAnsi="仿宋_GB2312" w:cs="仿宋_GB2312"/>
          <w:b w:val="0"/>
          <w:bCs w:val="0"/>
          <w:sz w:val="32"/>
          <w:szCs w:val="32"/>
        </w:rPr>
        <w:t>2.提升青岛城市国际化水平研究</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ascii="仿宋_GB2312" w:hAnsi="仿宋_GB2312" w:cs="仿宋_GB2312"/>
          <w:b w:val="0"/>
          <w:bCs w:val="0"/>
          <w:sz w:val="32"/>
          <w:szCs w:val="32"/>
        </w:rPr>
      </w:pPr>
      <w:r>
        <w:rPr>
          <w:rFonts w:hint="eastAsia" w:ascii="仿宋_GB2312" w:hAnsi="仿宋_GB2312" w:cs="仿宋_GB2312"/>
          <w:b w:val="0"/>
          <w:bCs w:val="0"/>
          <w:sz w:val="32"/>
          <w:szCs w:val="32"/>
        </w:rPr>
        <w:t>3.青岛市建设人民城市研究</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ascii="仿宋_GB2312" w:hAnsi="仿宋_GB2312" w:cs="仿宋_GB2312"/>
          <w:b w:val="0"/>
          <w:bCs w:val="0"/>
          <w:sz w:val="32"/>
          <w:szCs w:val="32"/>
        </w:rPr>
      </w:pPr>
      <w:r>
        <w:rPr>
          <w:rFonts w:hint="eastAsia" w:ascii="仿宋_GB2312" w:hAnsi="仿宋_GB2312" w:cs="仿宋_GB2312"/>
          <w:b w:val="0"/>
          <w:bCs w:val="0"/>
          <w:sz w:val="32"/>
          <w:szCs w:val="32"/>
        </w:rPr>
        <w:t>4.青岛市打造现代产业先行城市路径研究</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rPr>
        <w:t>5.青岛市打造国家战略性新兴产业基地</w:t>
      </w:r>
      <w:r>
        <w:rPr>
          <w:rFonts w:hint="eastAsia" w:ascii="仿宋_GB2312" w:hAnsi="仿宋_GB2312" w:cs="仿宋_GB2312"/>
          <w:b w:val="0"/>
          <w:bCs w:val="0"/>
          <w:sz w:val="32"/>
          <w:szCs w:val="32"/>
          <w:lang w:val="en-US" w:eastAsia="zh-CN"/>
        </w:rPr>
        <w:t>研究</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ascii="仿宋_GB2312" w:hAnsi="仿宋_GB2312" w:cs="仿宋_GB2312"/>
          <w:b w:val="0"/>
          <w:bCs w:val="0"/>
          <w:sz w:val="32"/>
          <w:szCs w:val="32"/>
        </w:rPr>
      </w:pPr>
      <w:r>
        <w:rPr>
          <w:rFonts w:hint="eastAsia" w:ascii="仿宋_GB2312" w:hAnsi="仿宋_GB2312" w:cs="仿宋_GB2312"/>
          <w:b w:val="0"/>
          <w:bCs w:val="0"/>
          <w:sz w:val="32"/>
          <w:szCs w:val="32"/>
        </w:rPr>
        <w:t>6.青岛市打造国家级服务经济中心研究</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ascii="楷体_GB2312" w:hAnsi="楷体_GB2312" w:eastAsia="楷体_GB2312" w:cs="楷体_GB2312"/>
          <w:b w:val="0"/>
          <w:bCs w:val="0"/>
          <w:color w:val="000000" w:themeColor="text1"/>
          <w:sz w:val="32"/>
          <w:szCs w:val="32"/>
          <w14:textFill>
            <w14:solidFill>
              <w14:schemeClr w14:val="tx1"/>
            </w14:solidFill>
          </w14:textFill>
        </w:rPr>
      </w:pPr>
      <w:r>
        <w:rPr>
          <w:rFonts w:hint="eastAsia" w:ascii="仿宋_GB2312" w:hAnsi="仿宋_GB2312" w:cs="仿宋_GB2312"/>
          <w:b w:val="0"/>
          <w:bCs w:val="0"/>
          <w:sz w:val="32"/>
          <w:szCs w:val="32"/>
        </w:rPr>
        <w:t>7.青岛市发展数字经济研究</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ascii="仿宋_GB2312" w:hAnsi="仿宋_GB2312" w:cs="仿宋_GB2312"/>
          <w:b w:val="0"/>
          <w:bCs w:val="0"/>
          <w:sz w:val="32"/>
          <w:szCs w:val="32"/>
        </w:rPr>
      </w:pPr>
      <w:r>
        <w:rPr>
          <w:rFonts w:hint="eastAsia" w:ascii="仿宋_GB2312" w:hAnsi="仿宋_GB2312" w:cs="仿宋_GB2312"/>
          <w:b w:val="0"/>
          <w:bCs w:val="0"/>
          <w:sz w:val="32"/>
          <w:szCs w:val="32"/>
        </w:rPr>
        <w:t>8.青岛市推动实体经济高质量发展研究</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ascii="楷体_GB2312" w:hAnsi="楷体_GB2312" w:eastAsia="楷体_GB2312" w:cs="楷体_GB2312"/>
          <w:b w:val="0"/>
          <w:bCs w:val="0"/>
          <w:sz w:val="32"/>
          <w:szCs w:val="32"/>
        </w:rPr>
      </w:pPr>
      <w:r>
        <w:rPr>
          <w:rFonts w:hint="eastAsia" w:ascii="仿宋_GB2312" w:hAnsi="仿宋_GB2312" w:cs="仿宋_GB2312"/>
          <w:b w:val="0"/>
          <w:bCs w:val="0"/>
          <w:sz w:val="32"/>
          <w:szCs w:val="32"/>
        </w:rPr>
        <w:t>9.青岛市打造引领型现代海洋城市路径研究</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ascii="仿宋_GB2312" w:hAnsi="仿宋_GB2312" w:cs="仿宋_GB2312"/>
          <w:b w:val="0"/>
          <w:bCs w:val="0"/>
          <w:sz w:val="32"/>
          <w:szCs w:val="32"/>
        </w:rPr>
      </w:pPr>
      <w:r>
        <w:rPr>
          <w:rFonts w:hint="eastAsia" w:ascii="仿宋_GB2312" w:hAnsi="仿宋_GB2312" w:cs="仿宋_GB2312"/>
          <w:b w:val="0"/>
          <w:bCs w:val="0"/>
          <w:sz w:val="32"/>
          <w:szCs w:val="32"/>
        </w:rPr>
        <w:t>10.青岛市打造国际化创新型城市路径研究</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ascii="仿宋_GB2312" w:hAnsi="仿宋_GB2312" w:cs="仿宋_GB2312"/>
          <w:b w:val="0"/>
          <w:bCs w:val="0"/>
          <w:sz w:val="32"/>
          <w:szCs w:val="32"/>
        </w:rPr>
      </w:pPr>
      <w:r>
        <w:rPr>
          <w:rFonts w:hint="eastAsia" w:ascii="仿宋_GB2312" w:hAnsi="仿宋_GB2312" w:cs="仿宋_GB2312"/>
          <w:b w:val="0"/>
          <w:bCs w:val="0"/>
          <w:sz w:val="32"/>
          <w:szCs w:val="32"/>
        </w:rPr>
        <w:t>11.青岛市对接国家标准优化创新创业生态研究</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ascii="仿宋_GB2312" w:hAnsi="仿宋_GB2312" w:cs="仿宋_GB2312"/>
          <w:b w:val="0"/>
          <w:bCs w:val="0"/>
          <w:sz w:val="32"/>
          <w:szCs w:val="32"/>
        </w:rPr>
      </w:pPr>
      <w:r>
        <w:rPr>
          <w:rFonts w:hint="eastAsia" w:ascii="仿宋_GB2312" w:hAnsi="仿宋_GB2312" w:cs="仿宋_GB2312"/>
          <w:b w:val="0"/>
          <w:bCs w:val="0"/>
          <w:sz w:val="32"/>
          <w:szCs w:val="32"/>
        </w:rPr>
        <w:t>12.增强青岛企业创新能力研究</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ascii="仿宋_GB2312" w:hAnsi="仿宋_GB2312" w:cs="仿宋_GB2312"/>
          <w:b w:val="0"/>
          <w:bCs w:val="0"/>
          <w:sz w:val="32"/>
          <w:szCs w:val="32"/>
        </w:rPr>
      </w:pPr>
      <w:r>
        <w:rPr>
          <w:rFonts w:hint="eastAsia" w:ascii="仿宋_GB2312" w:hAnsi="仿宋_GB2312" w:cs="仿宋_GB2312"/>
          <w:b w:val="0"/>
          <w:bCs w:val="0"/>
          <w:sz w:val="32"/>
          <w:szCs w:val="32"/>
        </w:rPr>
        <w:t>13.青岛市人才发展战略研究</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ascii="仿宋_GB2312" w:hAnsi="仿宋_GB2312" w:cs="仿宋_GB2312"/>
          <w:b w:val="0"/>
          <w:bCs w:val="0"/>
          <w:sz w:val="32"/>
          <w:szCs w:val="32"/>
        </w:rPr>
      </w:pPr>
      <w:r>
        <w:rPr>
          <w:rFonts w:hint="eastAsia" w:ascii="仿宋_GB2312" w:hAnsi="仿宋_GB2312" w:cs="仿宋_GB2312"/>
          <w:b w:val="0"/>
          <w:bCs w:val="0"/>
          <w:sz w:val="32"/>
          <w:szCs w:val="32"/>
        </w:rPr>
        <w:t>14.加强新时代青岛干部队伍作风能力建设研究</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ascii="仿宋_GB2312" w:hAnsi="仿宋_GB2312" w:cs="仿宋_GB2312"/>
          <w:b w:val="0"/>
          <w:bCs w:val="0"/>
          <w:sz w:val="32"/>
          <w:szCs w:val="32"/>
        </w:rPr>
      </w:pPr>
      <w:r>
        <w:rPr>
          <w:rFonts w:hint="eastAsia" w:ascii="仿宋_GB2312" w:hAnsi="仿宋_GB2312" w:cs="仿宋_GB2312"/>
          <w:b w:val="0"/>
          <w:bCs w:val="0"/>
          <w:sz w:val="32"/>
          <w:szCs w:val="32"/>
        </w:rPr>
        <w:t>15.青岛市打造国际门户枢纽城市路径研究</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ascii="仿宋_GB2312" w:hAnsi="仿宋_GB2312" w:cs="仿宋_GB2312"/>
          <w:b w:val="0"/>
          <w:bCs w:val="0"/>
          <w:sz w:val="32"/>
          <w:szCs w:val="32"/>
        </w:rPr>
      </w:pPr>
      <w:r>
        <w:rPr>
          <w:rFonts w:hint="eastAsia" w:ascii="仿宋_GB2312" w:hAnsi="仿宋_GB2312" w:cs="仿宋_GB2312"/>
          <w:b w:val="0"/>
          <w:bCs w:val="0"/>
          <w:sz w:val="32"/>
          <w:szCs w:val="32"/>
        </w:rPr>
        <w:t>16.打造“一带一路”国际合作新平台研究</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ascii="仿宋_GB2312" w:hAnsi="仿宋_GB2312" w:cs="仿宋_GB2312"/>
          <w:b w:val="0"/>
          <w:bCs w:val="0"/>
          <w:sz w:val="32"/>
          <w:szCs w:val="32"/>
        </w:rPr>
      </w:pPr>
      <w:r>
        <w:rPr>
          <w:rFonts w:hint="eastAsia" w:ascii="仿宋_GB2312" w:hAnsi="仿宋_GB2312" w:cs="仿宋_GB2312"/>
          <w:b w:val="0"/>
          <w:bCs w:val="0"/>
          <w:sz w:val="32"/>
          <w:szCs w:val="32"/>
        </w:rPr>
        <w:t>17.推动上合示范区高质量发展研究</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ascii="仿宋_GB2312" w:hAnsi="仿宋_GB2312" w:cs="仿宋_GB2312"/>
          <w:b w:val="0"/>
          <w:bCs w:val="0"/>
          <w:sz w:val="32"/>
          <w:szCs w:val="32"/>
        </w:rPr>
      </w:pPr>
      <w:r>
        <w:rPr>
          <w:rFonts w:hint="eastAsia" w:ascii="仿宋_GB2312" w:hAnsi="仿宋_GB2312" w:cs="仿宋_GB2312"/>
          <w:b w:val="0"/>
          <w:bCs w:val="0"/>
          <w:sz w:val="32"/>
          <w:szCs w:val="32"/>
        </w:rPr>
        <w:t>18.推动山东自贸试验区青岛片区创新发展研究</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ascii="仿宋_GB2312" w:hAnsi="仿宋_GB2312" w:cs="仿宋_GB2312"/>
          <w:b w:val="0"/>
          <w:bCs w:val="0"/>
          <w:sz w:val="32"/>
          <w:szCs w:val="32"/>
        </w:rPr>
      </w:pPr>
      <w:r>
        <w:rPr>
          <w:rFonts w:hint="eastAsia" w:ascii="仿宋_GB2312" w:hAnsi="仿宋_GB2312" w:cs="仿宋_GB2312"/>
          <w:b w:val="0"/>
          <w:bCs w:val="0"/>
          <w:sz w:val="32"/>
          <w:szCs w:val="32"/>
        </w:rPr>
        <w:t>19.RCEP经贸规则应用研究</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ascii="仿宋_GB2312" w:hAnsi="仿宋_GB2312" w:cs="仿宋_GB2312"/>
          <w:b w:val="0"/>
          <w:bCs w:val="0"/>
          <w:sz w:val="32"/>
          <w:szCs w:val="32"/>
        </w:rPr>
      </w:pPr>
      <w:r>
        <w:rPr>
          <w:rFonts w:hint="eastAsia" w:ascii="仿宋_GB2312" w:hAnsi="仿宋_GB2312" w:cs="仿宋_GB2312"/>
          <w:b w:val="0"/>
          <w:bCs w:val="0"/>
          <w:sz w:val="32"/>
          <w:szCs w:val="32"/>
        </w:rPr>
        <w:t>20.青岛市加快建设国际性综合交通枢纽研究</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ascii="仿宋_GB2312" w:hAnsi="仿宋_GB2312" w:cs="仿宋_GB2312"/>
          <w:b w:val="0"/>
          <w:bCs w:val="0"/>
          <w:sz w:val="32"/>
          <w:szCs w:val="32"/>
        </w:rPr>
      </w:pPr>
      <w:r>
        <w:rPr>
          <w:rFonts w:hint="eastAsia" w:ascii="仿宋_GB2312" w:hAnsi="仿宋_GB2312" w:cs="仿宋_GB2312"/>
          <w:b w:val="0"/>
          <w:bCs w:val="0"/>
          <w:sz w:val="32"/>
          <w:szCs w:val="32"/>
        </w:rPr>
        <w:t>21.打造青岛都市圈对策研究</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ascii="仿宋_GB2312" w:hAnsi="仿宋_GB2312" w:cs="仿宋_GB2312"/>
          <w:b w:val="0"/>
          <w:bCs w:val="0"/>
          <w:sz w:val="32"/>
          <w:szCs w:val="32"/>
        </w:rPr>
      </w:pPr>
      <w:r>
        <w:rPr>
          <w:rFonts w:hint="eastAsia" w:ascii="仿宋_GB2312" w:hAnsi="仿宋_GB2312" w:cs="仿宋_GB2312"/>
          <w:b w:val="0"/>
          <w:bCs w:val="0"/>
          <w:sz w:val="32"/>
          <w:szCs w:val="32"/>
        </w:rPr>
        <w:t>22.青岛市融入黄河流域生态保护和高质量发展战略研究</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ascii="仿宋_GB2312" w:hAnsi="仿宋_GB2312" w:cs="仿宋_GB2312"/>
          <w:b w:val="0"/>
          <w:bCs w:val="0"/>
          <w:sz w:val="32"/>
          <w:szCs w:val="32"/>
        </w:rPr>
      </w:pPr>
      <w:r>
        <w:rPr>
          <w:rFonts w:hint="eastAsia" w:ascii="仿宋_GB2312" w:hAnsi="仿宋_GB2312" w:cs="仿宋_GB2312"/>
          <w:b w:val="0"/>
          <w:bCs w:val="0"/>
          <w:sz w:val="32"/>
          <w:szCs w:val="32"/>
        </w:rPr>
        <w:t>23.青岛市打造国际一流营商环境研究</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ascii="仿宋_GB2312" w:hAnsi="仿宋_GB2312" w:cs="仿宋_GB2312"/>
          <w:b w:val="0"/>
          <w:bCs w:val="0"/>
          <w:sz w:val="32"/>
          <w:szCs w:val="32"/>
          <w:u w:val="single"/>
        </w:rPr>
      </w:pPr>
      <w:r>
        <w:rPr>
          <w:rFonts w:hint="eastAsia" w:ascii="仿宋_GB2312" w:hAnsi="仿宋_GB2312" w:cs="仿宋_GB2312"/>
          <w:b w:val="0"/>
          <w:bCs w:val="0"/>
          <w:sz w:val="32"/>
          <w:szCs w:val="32"/>
        </w:rPr>
        <w:t>24</w:t>
      </w:r>
      <w:r>
        <w:rPr>
          <w:rFonts w:hint="eastAsia" w:ascii="仿宋_GB2312" w:hAnsi="仿宋_GB2312" w:cs="仿宋_GB2312"/>
          <w:b w:val="0"/>
          <w:bCs w:val="0"/>
          <w:sz w:val="32"/>
          <w:szCs w:val="32"/>
          <w:lang w:eastAsia="zh-CN"/>
        </w:rPr>
        <w:t>.</w:t>
      </w:r>
      <w:r>
        <w:rPr>
          <w:rFonts w:hint="eastAsia" w:ascii="仿宋_GB2312" w:hAnsi="仿宋_GB2312" w:cs="仿宋_GB2312"/>
          <w:b w:val="0"/>
          <w:bCs w:val="0"/>
          <w:sz w:val="32"/>
          <w:szCs w:val="32"/>
        </w:rPr>
        <w:t>深化生产要素市场化改革，建设高标准市场体系研究</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b w:val="0"/>
          <w:bCs w:val="0"/>
        </w:rPr>
      </w:pPr>
      <w:r>
        <w:rPr>
          <w:rFonts w:hint="eastAsia" w:ascii="仿宋_GB2312" w:hAnsi="仿宋_GB2312" w:cs="仿宋_GB2312"/>
          <w:b w:val="0"/>
          <w:bCs w:val="0"/>
          <w:sz w:val="32"/>
          <w:szCs w:val="32"/>
        </w:rPr>
        <w:t>25.青岛市落实新的组合式税费政策优化营商环境研究</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ascii="仿宋_GB2312" w:hAnsi="仿宋_GB2312" w:cs="仿宋_GB2312"/>
          <w:b w:val="0"/>
          <w:bCs w:val="0"/>
          <w:sz w:val="32"/>
          <w:szCs w:val="32"/>
        </w:rPr>
      </w:pPr>
      <w:r>
        <w:rPr>
          <w:rFonts w:hint="eastAsia" w:ascii="仿宋_GB2312" w:hAnsi="仿宋_GB2312" w:cs="仿宋_GB2312"/>
          <w:b w:val="0"/>
          <w:bCs w:val="0"/>
          <w:sz w:val="32"/>
          <w:szCs w:val="32"/>
        </w:rPr>
        <w:t>26.青岛市打造宜居宜业宜游高品质湾区城市路径研究</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ascii="仿宋_GB2312" w:hAnsi="仿宋_GB2312" w:cs="仿宋_GB2312"/>
          <w:b w:val="0"/>
          <w:bCs w:val="0"/>
          <w:sz w:val="32"/>
          <w:szCs w:val="32"/>
        </w:rPr>
      </w:pPr>
      <w:r>
        <w:rPr>
          <w:rFonts w:hint="eastAsia" w:ascii="仿宋_GB2312" w:hAnsi="仿宋_GB2312" w:cs="仿宋_GB2312"/>
          <w:b w:val="0"/>
          <w:bCs w:val="0"/>
          <w:sz w:val="32"/>
          <w:szCs w:val="32"/>
        </w:rPr>
        <w:t>27.青岛市扩大和改善公共文化服务供给研究</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ascii="仿宋_GB2312"/>
          <w:b w:val="0"/>
          <w:bCs w:val="0"/>
          <w:sz w:val="32"/>
          <w:szCs w:val="32"/>
        </w:rPr>
      </w:pPr>
      <w:r>
        <w:rPr>
          <w:rFonts w:hint="eastAsia" w:ascii="仿宋_GB2312"/>
          <w:b w:val="0"/>
          <w:bCs w:val="0"/>
          <w:sz w:val="32"/>
          <w:szCs w:val="32"/>
        </w:rPr>
        <w:t>28.青岛市推动城市更新和城市建设研究</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ascii="仿宋_GB2312"/>
          <w:b w:val="0"/>
          <w:bCs w:val="0"/>
          <w:sz w:val="32"/>
          <w:szCs w:val="32"/>
        </w:rPr>
      </w:pPr>
      <w:r>
        <w:rPr>
          <w:rFonts w:hint="eastAsia" w:ascii="仿宋_GB2312"/>
          <w:b w:val="0"/>
          <w:bCs w:val="0"/>
          <w:sz w:val="32"/>
          <w:szCs w:val="32"/>
        </w:rPr>
        <w:t>29.青岛推进数字城市建设研究</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ascii="仿宋_GB2312"/>
          <w:b w:val="0"/>
          <w:bCs w:val="0"/>
          <w:sz w:val="32"/>
          <w:szCs w:val="32"/>
        </w:rPr>
      </w:pPr>
      <w:r>
        <w:rPr>
          <w:rFonts w:hint="eastAsia" w:ascii="仿宋_GB2312"/>
          <w:b w:val="0"/>
          <w:bCs w:val="0"/>
          <w:sz w:val="32"/>
          <w:szCs w:val="32"/>
        </w:rPr>
        <w:t>30.青岛市打造乡村振兴齐鲁样板先行区研究</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ascii="仿宋_GB2312"/>
          <w:b w:val="0"/>
          <w:bCs w:val="0"/>
          <w:sz w:val="32"/>
          <w:szCs w:val="32"/>
        </w:rPr>
      </w:pPr>
      <w:r>
        <w:rPr>
          <w:rFonts w:hint="eastAsia" w:ascii="仿宋_GB2312"/>
          <w:b w:val="0"/>
          <w:bCs w:val="0"/>
          <w:sz w:val="32"/>
          <w:szCs w:val="32"/>
        </w:rPr>
        <w:t>31.青岛市</w:t>
      </w:r>
      <w:r>
        <w:rPr>
          <w:rFonts w:hint="eastAsia" w:ascii="仿宋_GB2312"/>
          <w:b w:val="0"/>
          <w:bCs w:val="0"/>
          <w:sz w:val="32"/>
          <w:szCs w:val="32"/>
          <w:lang w:val="en-US" w:eastAsia="zh-CN"/>
        </w:rPr>
        <w:t>落实“双碳”任务，推动经济社会发展全面绿色转型研究</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ascii="仿宋_GB2312"/>
          <w:b w:val="0"/>
          <w:bCs w:val="0"/>
          <w:sz w:val="32"/>
          <w:szCs w:val="32"/>
        </w:rPr>
      </w:pPr>
      <w:r>
        <w:rPr>
          <w:rFonts w:hint="eastAsia" w:ascii="仿宋_GB2312"/>
          <w:b w:val="0"/>
          <w:bCs w:val="0"/>
          <w:sz w:val="32"/>
          <w:szCs w:val="32"/>
        </w:rPr>
        <w:t>32.青岛市推动共同富裕路径研究</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ascii="仿宋_GB2312"/>
          <w:b w:val="0"/>
          <w:bCs w:val="0"/>
          <w:sz w:val="32"/>
          <w:szCs w:val="32"/>
        </w:rPr>
      </w:pPr>
      <w:r>
        <w:rPr>
          <w:rFonts w:hint="eastAsia" w:ascii="仿宋_GB2312"/>
          <w:b w:val="0"/>
          <w:bCs w:val="0"/>
          <w:sz w:val="32"/>
          <w:szCs w:val="32"/>
        </w:rPr>
        <w:t>33.青岛市补足民生短板提升城市生活品质研究</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ascii="仿宋_GB2312" w:hAnsi="仿宋_GB2312" w:cs="仿宋_GB2312"/>
          <w:b w:val="0"/>
          <w:bCs w:val="0"/>
          <w:sz w:val="32"/>
          <w:szCs w:val="32"/>
        </w:rPr>
      </w:pPr>
      <w:r>
        <w:rPr>
          <w:rFonts w:hint="eastAsia" w:ascii="仿宋_GB2312" w:hAnsi="仿宋_GB2312" w:cs="仿宋_GB2312"/>
          <w:b w:val="0"/>
          <w:bCs w:val="0"/>
          <w:sz w:val="32"/>
          <w:szCs w:val="32"/>
        </w:rPr>
        <w:t>34.青岛市推动</w:t>
      </w:r>
      <w:r>
        <w:rPr>
          <w:rFonts w:hint="eastAsia" w:ascii="仿宋_GB2312" w:hAnsi="仿宋_GB2312" w:cs="仿宋_GB2312"/>
          <w:b w:val="0"/>
          <w:bCs w:val="0"/>
          <w:spacing w:val="8"/>
          <w:sz w:val="32"/>
          <w:szCs w:val="32"/>
          <w:shd w:val="clear" w:color="auto" w:fill="FFFFFF"/>
        </w:rPr>
        <w:t>教育优先发展研究</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ascii="仿宋_GB2312" w:hAnsi="仿宋_GB2312" w:cs="仿宋_GB2312"/>
          <w:b w:val="0"/>
          <w:bCs w:val="0"/>
          <w:sz w:val="32"/>
          <w:szCs w:val="32"/>
        </w:rPr>
      </w:pPr>
      <w:r>
        <w:rPr>
          <w:rFonts w:hint="eastAsia" w:ascii="仿宋_GB2312" w:hAnsi="仿宋_GB2312" w:cs="仿宋_GB2312"/>
          <w:b w:val="0"/>
          <w:bCs w:val="0"/>
          <w:sz w:val="32"/>
          <w:szCs w:val="32"/>
        </w:rPr>
        <w:t>35.青岛市打造现代化治理样板城市路径研究</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ascii="仿宋_GB2312"/>
          <w:b w:val="0"/>
          <w:bCs w:val="0"/>
          <w:sz w:val="32"/>
          <w:szCs w:val="32"/>
        </w:rPr>
      </w:pPr>
      <w:r>
        <w:rPr>
          <w:rFonts w:hint="eastAsia" w:ascii="仿宋_GB2312"/>
          <w:b w:val="0"/>
          <w:bCs w:val="0"/>
          <w:sz w:val="32"/>
          <w:szCs w:val="32"/>
        </w:rPr>
        <w:t>36.全面推进法治青岛建设研究</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ascii="仿宋_GB2312"/>
          <w:b w:val="0"/>
          <w:bCs w:val="0"/>
          <w:sz w:val="32"/>
          <w:szCs w:val="32"/>
        </w:rPr>
      </w:pPr>
      <w:r>
        <w:rPr>
          <w:rFonts w:hint="eastAsia" w:ascii="仿宋_GB2312"/>
          <w:b w:val="0"/>
          <w:bCs w:val="0"/>
          <w:sz w:val="32"/>
          <w:szCs w:val="32"/>
        </w:rPr>
        <w:t>37.深入推进平安青岛建设研究</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ascii="仿宋_GB2312"/>
          <w:b w:val="0"/>
          <w:bCs w:val="0"/>
          <w:sz w:val="32"/>
          <w:szCs w:val="32"/>
        </w:rPr>
      </w:pPr>
      <w:r>
        <w:rPr>
          <w:rFonts w:hint="eastAsia" w:ascii="仿宋_GB2312"/>
          <w:b w:val="0"/>
          <w:bCs w:val="0"/>
          <w:sz w:val="32"/>
          <w:szCs w:val="32"/>
        </w:rPr>
        <w:t>38.青岛市推进市域治理现代化研究</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ascii="仿宋_GB2312"/>
          <w:b w:val="0"/>
          <w:bCs w:val="0"/>
          <w:sz w:val="32"/>
          <w:szCs w:val="32"/>
        </w:rPr>
      </w:pPr>
      <w:r>
        <w:rPr>
          <w:rFonts w:hint="eastAsia" w:ascii="仿宋_GB2312"/>
          <w:b w:val="0"/>
          <w:bCs w:val="0"/>
          <w:sz w:val="32"/>
          <w:szCs w:val="32"/>
        </w:rPr>
        <w:t>39.</w:t>
      </w:r>
      <w:r>
        <w:rPr>
          <w:rFonts w:ascii="仿宋_GB2312"/>
          <w:b w:val="0"/>
          <w:bCs w:val="0"/>
          <w:sz w:val="32"/>
          <w:szCs w:val="32"/>
        </w:rPr>
        <w:t>青岛市基层治理体系和</w:t>
      </w:r>
      <w:r>
        <w:rPr>
          <w:rFonts w:hint="eastAsia" w:ascii="仿宋_GB2312"/>
          <w:b w:val="0"/>
          <w:bCs w:val="0"/>
          <w:sz w:val="32"/>
          <w:szCs w:val="32"/>
        </w:rPr>
        <w:t>治理</w:t>
      </w:r>
      <w:r>
        <w:rPr>
          <w:rFonts w:ascii="仿宋_GB2312"/>
          <w:b w:val="0"/>
          <w:bCs w:val="0"/>
          <w:sz w:val="32"/>
          <w:szCs w:val="32"/>
        </w:rPr>
        <w:t>能力现代化研究</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ascii="仿宋_GB2312"/>
          <w:b w:val="0"/>
          <w:bCs w:val="0"/>
          <w:sz w:val="32"/>
          <w:szCs w:val="32"/>
        </w:rPr>
      </w:pPr>
      <w:r>
        <w:rPr>
          <w:rFonts w:hint="eastAsia" w:ascii="仿宋_GB2312"/>
          <w:b w:val="0"/>
          <w:bCs w:val="0"/>
          <w:sz w:val="32"/>
          <w:szCs w:val="32"/>
        </w:rPr>
        <w:t>40.</w:t>
      </w:r>
      <w:r>
        <w:rPr>
          <w:rFonts w:ascii="仿宋_GB2312"/>
          <w:b w:val="0"/>
          <w:bCs w:val="0"/>
          <w:sz w:val="32"/>
          <w:szCs w:val="32"/>
        </w:rPr>
        <w:t>青岛</w:t>
      </w:r>
      <w:r>
        <w:rPr>
          <w:rFonts w:hint="eastAsia" w:ascii="仿宋_GB2312"/>
          <w:b w:val="0"/>
          <w:bCs w:val="0"/>
          <w:sz w:val="32"/>
          <w:szCs w:val="32"/>
        </w:rPr>
        <w:t>市</w:t>
      </w:r>
      <w:r>
        <w:rPr>
          <w:rFonts w:ascii="仿宋_GB2312"/>
          <w:b w:val="0"/>
          <w:bCs w:val="0"/>
          <w:sz w:val="32"/>
          <w:szCs w:val="32"/>
        </w:rPr>
        <w:t>社会多元主体协同共治研究</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ascii="仿宋_GB2312"/>
          <w:b w:val="0"/>
          <w:bCs w:val="0"/>
          <w:sz w:val="32"/>
          <w:szCs w:val="32"/>
        </w:rPr>
      </w:pPr>
      <w:r>
        <w:rPr>
          <w:rFonts w:hint="eastAsia" w:ascii="仿宋_GB2312"/>
          <w:b w:val="0"/>
          <w:bCs w:val="0"/>
          <w:sz w:val="32"/>
          <w:szCs w:val="32"/>
        </w:rPr>
        <w:t>41.青岛市加快推进媒体深度融合问题研究</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ascii="仿宋_GB2312"/>
          <w:b w:val="0"/>
          <w:bCs w:val="0"/>
          <w:sz w:val="32"/>
          <w:szCs w:val="32"/>
        </w:rPr>
      </w:pPr>
      <w:r>
        <w:rPr>
          <w:rFonts w:hint="eastAsia" w:ascii="仿宋_GB2312"/>
          <w:b w:val="0"/>
          <w:bCs w:val="0"/>
          <w:sz w:val="32"/>
          <w:szCs w:val="32"/>
        </w:rPr>
        <w:t>42.青岛市加强县级融媒体中心建设研究</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ascii="仿宋_GB2312"/>
          <w:b w:val="0"/>
          <w:bCs w:val="0"/>
          <w:sz w:val="32"/>
          <w:szCs w:val="32"/>
        </w:rPr>
      </w:pPr>
      <w:r>
        <w:rPr>
          <w:rFonts w:hint="eastAsia" w:ascii="仿宋_GB2312"/>
          <w:b w:val="0"/>
          <w:bCs w:val="0"/>
          <w:sz w:val="32"/>
          <w:szCs w:val="32"/>
        </w:rPr>
        <w:t>43.青岛市文明典范城市创建与城市更新建设融合推进的问题及对策研究</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ascii="仿宋_GB2312"/>
          <w:b w:val="0"/>
          <w:bCs w:val="0"/>
          <w:color w:val="auto"/>
          <w:sz w:val="32"/>
          <w:szCs w:val="32"/>
        </w:rPr>
      </w:pPr>
      <w:r>
        <w:rPr>
          <w:rFonts w:hint="eastAsia" w:ascii="仿宋_GB2312"/>
          <w:b w:val="0"/>
          <w:bCs w:val="0"/>
          <w:color w:val="auto"/>
          <w:sz w:val="32"/>
          <w:szCs w:val="32"/>
        </w:rPr>
        <w:t>44.青岛市实施新时代公民道德建设工程研究</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hint="eastAsia" w:ascii="仿宋_GB2312" w:eastAsia="仿宋_GB2312"/>
          <w:b w:val="0"/>
          <w:bCs w:val="0"/>
          <w:sz w:val="32"/>
          <w:szCs w:val="32"/>
          <w:lang w:val="en-US" w:eastAsia="zh-CN"/>
        </w:rPr>
      </w:pPr>
      <w:r>
        <w:rPr>
          <w:rFonts w:hint="eastAsia" w:ascii="仿宋_GB2312"/>
          <w:b w:val="0"/>
          <w:bCs w:val="0"/>
          <w:sz w:val="32"/>
          <w:szCs w:val="32"/>
        </w:rPr>
        <w:t>45.青岛市深化拓展新时代文明实践中心建设</w:t>
      </w:r>
      <w:r>
        <w:rPr>
          <w:rFonts w:hint="eastAsia" w:ascii="仿宋_GB2312"/>
          <w:b w:val="0"/>
          <w:bCs w:val="0"/>
          <w:sz w:val="32"/>
          <w:szCs w:val="32"/>
          <w:lang w:val="en-US" w:eastAsia="zh-CN"/>
        </w:rPr>
        <w:t>研究</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hint="default" w:ascii="仿宋_GB2312" w:eastAsia="仿宋_GB2312"/>
          <w:b w:val="0"/>
          <w:bCs w:val="0"/>
          <w:sz w:val="32"/>
          <w:szCs w:val="32"/>
          <w:lang w:val="en-US" w:eastAsia="zh-CN"/>
        </w:rPr>
      </w:pPr>
      <w:r>
        <w:rPr>
          <w:rFonts w:hint="eastAsia" w:ascii="仿宋_GB2312"/>
          <w:b w:val="0"/>
          <w:bCs w:val="0"/>
          <w:sz w:val="32"/>
          <w:szCs w:val="32"/>
          <w:lang w:val="en-US" w:eastAsia="zh-CN"/>
        </w:rPr>
        <w:t>46.新时代美德健康生活方式建设研究</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hint="eastAsia" w:ascii="仿宋_GB2312"/>
          <w:b w:val="0"/>
          <w:bCs w:val="0"/>
          <w:sz w:val="32"/>
          <w:szCs w:val="32"/>
        </w:rPr>
      </w:pPr>
      <w:r>
        <w:rPr>
          <w:rFonts w:hint="eastAsia" w:ascii="仿宋_GB2312"/>
          <w:b w:val="0"/>
          <w:bCs w:val="0"/>
          <w:sz w:val="32"/>
          <w:szCs w:val="32"/>
          <w:lang w:val="en-US" w:eastAsia="zh-CN"/>
        </w:rPr>
        <w:t>47</w:t>
      </w:r>
      <w:r>
        <w:rPr>
          <w:rFonts w:hint="eastAsia" w:ascii="仿宋_GB2312"/>
          <w:b w:val="0"/>
          <w:bCs w:val="0"/>
          <w:sz w:val="32"/>
          <w:szCs w:val="32"/>
        </w:rPr>
        <w:t>.</w:t>
      </w:r>
      <w:r>
        <w:rPr>
          <w:rFonts w:hint="eastAsia" w:ascii="仿宋_GB2312"/>
          <w:b w:val="0"/>
          <w:bCs w:val="0"/>
          <w:color w:val="auto"/>
          <w:sz w:val="32"/>
          <w:szCs w:val="32"/>
        </w:rPr>
        <w:t>青岛市</w:t>
      </w:r>
      <w:r>
        <w:rPr>
          <w:rFonts w:hint="eastAsia" w:ascii="仿宋_GB2312"/>
          <w:b w:val="0"/>
          <w:bCs w:val="0"/>
          <w:sz w:val="32"/>
          <w:szCs w:val="32"/>
        </w:rPr>
        <w:t>建设青年发展友好型城市的路径和对策研究</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hint="default" w:ascii="仿宋_GB2312" w:eastAsia="仿宋_GB2312"/>
          <w:b w:val="0"/>
          <w:bCs w:val="0"/>
          <w:sz w:val="32"/>
          <w:szCs w:val="32"/>
          <w:lang w:val="en-US" w:eastAsia="zh-CN"/>
        </w:rPr>
      </w:pPr>
      <w:r>
        <w:rPr>
          <w:rFonts w:hint="eastAsia" w:ascii="仿宋_GB2312"/>
          <w:b w:val="0"/>
          <w:bCs w:val="0"/>
          <w:sz w:val="32"/>
          <w:szCs w:val="32"/>
          <w:lang w:val="en-US" w:eastAsia="zh-CN"/>
        </w:rPr>
        <w:t>48.新时代加强家庭家教家风建设的对策研究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ascii="楷体_GB2312" w:eastAsia="楷体_GB2312"/>
          <w:b w:val="0"/>
          <w:bCs w:val="0"/>
          <w:sz w:val="32"/>
          <w:szCs w:val="32"/>
        </w:rPr>
      </w:pPr>
      <w:r>
        <w:rPr>
          <w:rFonts w:hint="eastAsia" w:ascii="楷体_GB2312" w:eastAsia="楷体_GB2312"/>
          <w:b w:val="0"/>
          <w:bCs w:val="0"/>
          <w:sz w:val="32"/>
          <w:szCs w:val="32"/>
        </w:rPr>
        <w:t>（四）艺术城市建设专项研究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ascii="仿宋_GB2312"/>
          <w:b w:val="0"/>
          <w:bCs w:val="0"/>
          <w:sz w:val="32"/>
          <w:szCs w:val="32"/>
        </w:rPr>
      </w:pPr>
      <w:r>
        <w:rPr>
          <w:rFonts w:hint="eastAsia" w:ascii="仿宋_GB2312"/>
          <w:b w:val="0"/>
          <w:bCs w:val="0"/>
          <w:sz w:val="32"/>
          <w:szCs w:val="32"/>
        </w:rPr>
        <w:t>1.艺术城市评价指标体系研究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ascii="仿宋_GB2312"/>
          <w:b w:val="0"/>
          <w:bCs w:val="0"/>
          <w:sz w:val="32"/>
          <w:szCs w:val="32"/>
        </w:rPr>
      </w:pPr>
      <w:r>
        <w:rPr>
          <w:rFonts w:hint="eastAsia" w:ascii="仿宋_GB2312"/>
          <w:b w:val="0"/>
          <w:bCs w:val="0"/>
          <w:sz w:val="32"/>
          <w:szCs w:val="32"/>
        </w:rPr>
        <w:t>2.青岛市文艺精品创作研究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ascii="仿宋_GB2312"/>
          <w:b w:val="0"/>
          <w:bCs w:val="0"/>
          <w:sz w:val="32"/>
          <w:szCs w:val="32"/>
        </w:rPr>
      </w:pPr>
      <w:r>
        <w:rPr>
          <w:rFonts w:hint="eastAsia" w:ascii="仿宋_GB2312"/>
          <w:b w:val="0"/>
          <w:bCs w:val="0"/>
          <w:sz w:val="32"/>
          <w:szCs w:val="32"/>
        </w:rPr>
        <w:t>3.青岛市传承弘扬中华优秀传统文化研究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ascii="仿宋_GB2312"/>
          <w:b w:val="0"/>
          <w:bCs w:val="0"/>
          <w:sz w:val="32"/>
          <w:szCs w:val="32"/>
        </w:rPr>
      </w:pPr>
      <w:r>
        <w:rPr>
          <w:rFonts w:hint="eastAsia" w:ascii="仿宋_GB2312"/>
          <w:b w:val="0"/>
          <w:bCs w:val="0"/>
          <w:sz w:val="32"/>
          <w:szCs w:val="32"/>
        </w:rPr>
        <w:t>4.青岛市艺术产业发展研究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ascii="仿宋_GB2312"/>
          <w:b w:val="0"/>
          <w:bCs w:val="0"/>
          <w:sz w:val="32"/>
          <w:szCs w:val="32"/>
        </w:rPr>
      </w:pPr>
      <w:r>
        <w:rPr>
          <w:rFonts w:hint="eastAsia" w:ascii="仿宋_GB2312"/>
          <w:b w:val="0"/>
          <w:bCs w:val="0"/>
          <w:sz w:val="32"/>
          <w:szCs w:val="32"/>
        </w:rPr>
        <w:t>5.青岛市艺术空间提升研究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ascii="仿宋_GB2312"/>
          <w:b w:val="0"/>
          <w:bCs w:val="0"/>
          <w:sz w:val="32"/>
          <w:szCs w:val="32"/>
        </w:rPr>
      </w:pPr>
      <w:r>
        <w:rPr>
          <w:rFonts w:hint="eastAsia" w:ascii="仿宋_GB2312"/>
          <w:b w:val="0"/>
          <w:bCs w:val="0"/>
          <w:sz w:val="32"/>
          <w:szCs w:val="32"/>
        </w:rPr>
        <w:t>6.青岛市艺术消费潜力挖掘研究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ascii="仿宋_GB2312"/>
          <w:b w:val="0"/>
          <w:bCs w:val="0"/>
          <w:sz w:val="32"/>
          <w:szCs w:val="32"/>
        </w:rPr>
      </w:pPr>
      <w:r>
        <w:rPr>
          <w:rFonts w:hint="eastAsia" w:ascii="仿宋_GB2312"/>
          <w:b w:val="0"/>
          <w:bCs w:val="0"/>
          <w:sz w:val="32"/>
          <w:szCs w:val="32"/>
        </w:rPr>
        <w:t>7.青岛市艺术教育和品牌传播研究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ascii="仿宋_GB2312"/>
          <w:b w:val="0"/>
          <w:bCs w:val="0"/>
          <w:sz w:val="32"/>
          <w:szCs w:val="32"/>
        </w:rPr>
      </w:pPr>
      <w:r>
        <w:rPr>
          <w:rFonts w:hint="eastAsia" w:ascii="仿宋_GB2312"/>
          <w:b w:val="0"/>
          <w:bCs w:val="0"/>
          <w:sz w:val="32"/>
          <w:szCs w:val="32"/>
        </w:rPr>
        <w:t>8.青岛市艺术人才队伍研究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ascii="仿宋_GB2312"/>
          <w:b w:val="0"/>
          <w:bCs w:val="0"/>
          <w:sz w:val="32"/>
          <w:szCs w:val="32"/>
        </w:rPr>
      </w:pPr>
      <w:r>
        <w:rPr>
          <w:rFonts w:hint="eastAsia" w:ascii="仿宋_GB2312"/>
          <w:b w:val="0"/>
          <w:bCs w:val="0"/>
          <w:sz w:val="32"/>
          <w:szCs w:val="32"/>
        </w:rPr>
        <w:t>9.青岛市文化底蕴研究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ascii="仿宋_GB2312"/>
          <w:b w:val="0"/>
          <w:bCs w:val="0"/>
          <w:sz w:val="32"/>
          <w:szCs w:val="32"/>
        </w:rPr>
      </w:pPr>
      <w:r>
        <w:rPr>
          <w:rFonts w:hint="eastAsia" w:ascii="仿宋_GB2312"/>
          <w:b w:val="0"/>
          <w:bCs w:val="0"/>
          <w:sz w:val="32"/>
          <w:szCs w:val="32"/>
        </w:rPr>
        <w:t>10.青岛市文化资源现状及利用效能研究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ascii="仿宋_GB2312"/>
          <w:b w:val="0"/>
          <w:bCs w:val="0"/>
          <w:sz w:val="32"/>
          <w:szCs w:val="32"/>
        </w:rPr>
      </w:pPr>
      <w:r>
        <w:rPr>
          <w:rFonts w:hint="eastAsia" w:ascii="仿宋_GB2312"/>
          <w:b w:val="0"/>
          <w:bCs w:val="0"/>
          <w:sz w:val="32"/>
          <w:szCs w:val="32"/>
        </w:rPr>
        <w:t>11.青岛市新兴文化产业研究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ascii="仿宋_GB2312" w:hAnsi="仿宋_GB2312" w:cs="仿宋_GB2312"/>
          <w:b w:val="0"/>
          <w:bCs w:val="0"/>
          <w:sz w:val="32"/>
          <w:szCs w:val="32"/>
        </w:rPr>
      </w:pPr>
      <w:r>
        <w:rPr>
          <w:rFonts w:hint="eastAsia" w:ascii="仿宋_GB2312" w:hAnsi="仿宋_GB2312" w:cs="仿宋_GB2312"/>
          <w:b w:val="0"/>
          <w:bCs w:val="0"/>
          <w:sz w:val="32"/>
          <w:szCs w:val="32"/>
        </w:rPr>
        <w:t>12.青岛市培育壮大文化产业对策研究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ascii="仿宋_GB2312" w:hAnsi="仿宋_GB2312" w:cs="仿宋_GB2312"/>
          <w:b w:val="0"/>
          <w:bCs w:val="0"/>
          <w:sz w:val="32"/>
          <w:szCs w:val="32"/>
        </w:rPr>
      </w:pPr>
      <w:r>
        <w:rPr>
          <w:rFonts w:hint="eastAsia" w:ascii="仿宋_GB2312" w:hAnsi="仿宋_GB2312" w:cs="仿宋_GB2312"/>
          <w:b w:val="0"/>
          <w:bCs w:val="0"/>
          <w:sz w:val="32"/>
          <w:szCs w:val="32"/>
        </w:rPr>
        <w:t>13.青岛市实施文化数字化战略研究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ascii="仿宋_GB2312" w:hAnsi="仿宋_GB2312" w:cs="仿宋_GB2312"/>
          <w:b w:val="0"/>
          <w:bCs w:val="0"/>
          <w:sz w:val="32"/>
          <w:szCs w:val="32"/>
        </w:rPr>
      </w:pPr>
      <w:r>
        <w:rPr>
          <w:rFonts w:hint="eastAsia" w:ascii="仿宋_GB2312" w:hAnsi="仿宋_GB2312" w:cs="仿宋_GB2312"/>
          <w:b w:val="0"/>
          <w:bCs w:val="0"/>
          <w:sz w:val="32"/>
          <w:szCs w:val="32"/>
        </w:rPr>
        <w:t>14.青岛市推进文旅深度融合发展研究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ascii="楷体_GB2312" w:eastAsia="楷体_GB2312"/>
          <w:b w:val="0"/>
          <w:bCs w:val="0"/>
          <w:sz w:val="32"/>
          <w:szCs w:val="32"/>
        </w:rPr>
      </w:pPr>
      <w:r>
        <w:rPr>
          <w:rFonts w:hint="eastAsia" w:ascii="楷体_GB2312" w:eastAsia="楷体_GB2312"/>
          <w:b w:val="0"/>
          <w:bCs w:val="0"/>
          <w:sz w:val="32"/>
          <w:szCs w:val="32"/>
        </w:rPr>
        <w:t>（五）“青岛通史”专项研究（成果形式均为著作）</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ascii="仿宋_GB2312"/>
          <w:b w:val="0"/>
          <w:bCs w:val="0"/>
          <w:sz w:val="32"/>
          <w:szCs w:val="32"/>
        </w:rPr>
      </w:pPr>
      <w:r>
        <w:rPr>
          <w:rFonts w:hint="eastAsia" w:ascii="仿宋_GB2312"/>
          <w:b w:val="0"/>
          <w:bCs w:val="0"/>
          <w:sz w:val="32"/>
          <w:szCs w:val="32"/>
        </w:rPr>
        <w:t>1.青岛地方文献整理与出版</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ascii="仿宋_GB2312"/>
          <w:b w:val="0"/>
          <w:bCs w:val="0"/>
          <w:sz w:val="32"/>
          <w:szCs w:val="32"/>
        </w:rPr>
      </w:pPr>
      <w:r>
        <w:rPr>
          <w:rFonts w:hint="eastAsia" w:ascii="仿宋_GB2312"/>
          <w:b w:val="0"/>
          <w:bCs w:val="0"/>
          <w:sz w:val="32"/>
          <w:szCs w:val="32"/>
        </w:rPr>
        <w:t>2.青岛专史整理与研究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ascii="楷体_GB2312" w:eastAsia="楷体_GB2312"/>
          <w:b w:val="0"/>
          <w:bCs w:val="0"/>
          <w:sz w:val="32"/>
          <w:szCs w:val="32"/>
        </w:rPr>
      </w:pPr>
      <w:r>
        <w:rPr>
          <w:rFonts w:hint="eastAsia" w:ascii="楷体_GB2312" w:eastAsia="楷体_GB2312"/>
          <w:b w:val="0"/>
          <w:bCs w:val="0"/>
          <w:sz w:val="32"/>
          <w:szCs w:val="32"/>
        </w:rPr>
        <w:t>（六）基础理论研究项目选题</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ascii="黑体" w:eastAsia="黑体"/>
          <w:b w:val="0"/>
          <w:bCs w:val="0"/>
          <w:sz w:val="32"/>
          <w:szCs w:val="32"/>
        </w:rPr>
      </w:pPr>
      <w:r>
        <w:rPr>
          <w:rFonts w:hint="eastAsia" w:ascii="仿宋_GB2312"/>
          <w:b w:val="0"/>
          <w:bCs w:val="0"/>
          <w:sz w:val="32"/>
          <w:szCs w:val="32"/>
        </w:rPr>
        <w:t>主要包括哲学、政治学、法学、社会学、经济</w:t>
      </w:r>
      <w:r>
        <w:rPr>
          <w:rFonts w:hint="eastAsia" w:ascii="仿宋_GB2312"/>
          <w:b w:val="0"/>
          <w:bCs w:val="0"/>
          <w:sz w:val="32"/>
          <w:szCs w:val="32"/>
          <w:lang w:val="en-US" w:eastAsia="zh-CN"/>
        </w:rPr>
        <w:t>学、</w:t>
      </w:r>
      <w:r>
        <w:rPr>
          <w:rFonts w:hint="eastAsia" w:ascii="仿宋_GB2312"/>
          <w:b w:val="0"/>
          <w:bCs w:val="0"/>
          <w:sz w:val="32"/>
          <w:szCs w:val="32"/>
        </w:rPr>
        <w:t>管理学、文学语言学、历史学、新闻学与传播学、教育学等学科，可根据学科特点确定具体题目，着力推出有分量有深度的研究成果。</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ascii="黑体" w:eastAsia="黑体"/>
          <w:sz w:val="32"/>
          <w:szCs w:val="32"/>
        </w:rPr>
      </w:pPr>
      <w:r>
        <w:rPr>
          <w:rFonts w:hint="eastAsia" w:ascii="黑体" w:eastAsia="黑体"/>
          <w:sz w:val="32"/>
          <w:szCs w:val="32"/>
        </w:rPr>
        <w:t>五、其他事项</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ascii="仿宋_GB2312"/>
          <w:sz w:val="32"/>
          <w:szCs w:val="32"/>
        </w:rPr>
      </w:pPr>
      <w:r>
        <w:rPr>
          <w:rFonts w:hint="eastAsia" w:ascii="楷体_GB2312" w:eastAsia="楷体_GB2312"/>
          <w:sz w:val="32"/>
          <w:szCs w:val="32"/>
        </w:rPr>
        <w:t>（一）申请书填写要求。</w:t>
      </w:r>
      <w:r>
        <w:rPr>
          <w:rFonts w:hint="eastAsia" w:ascii="仿宋_GB2312" w:hAnsi="宋体" w:cs="宋体"/>
          <w:sz w:val="32"/>
          <w:szCs w:val="32"/>
        </w:rPr>
        <w:t>项目</w:t>
      </w:r>
      <w:r>
        <w:rPr>
          <w:rFonts w:hint="eastAsia" w:ascii="仿宋_GB2312"/>
          <w:sz w:val="32"/>
          <w:szCs w:val="32"/>
        </w:rPr>
        <w:t>申请书（见附件1）填写使用四号宋体。“学科分类”填写一级学科名称，如“哲学”。各单位科研管理部门应对申请书填写内容，特别是对项目负责人是否承担在研的市社科规划项目、项目组成员的组成、前期研究成果的真实性，选题和论证的科学性、可行性，研究实力和必备的条件等进行认真审核，为申请人承担信誉保证。对申请人在申请书填写及申报过程中提出的相关问题，各单位汇总整理后，统一向市社科规划办咨询。</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eastAsia" w:ascii="仿宋_GB2312" w:hAnsi="宋体" w:cs="宋体"/>
          <w:sz w:val="32"/>
          <w:szCs w:val="32"/>
        </w:rPr>
      </w:pPr>
      <w:r>
        <w:rPr>
          <w:rFonts w:hint="eastAsia" w:ascii="楷体_GB2312" w:eastAsia="楷体_GB2312"/>
          <w:sz w:val="32"/>
          <w:szCs w:val="32"/>
        </w:rPr>
        <w:t>（二）申报资格审查要求。</w:t>
      </w:r>
      <w:r>
        <w:rPr>
          <w:rFonts w:hint="eastAsia" w:ascii="仿宋_GB2312" w:hAnsi="宋体" w:cs="宋体"/>
          <w:sz w:val="32"/>
          <w:szCs w:val="32"/>
        </w:rPr>
        <w:t>各单位应认真审核申请人的申报资格。对符合申报要求的，应在项目申请书“项目负责人所在单位审核意见”一栏填写本单位审核意见；对不符合申报要求的，应及时向申请人说明原因，相关材料不予提报。</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ascii="仿宋_GB2312"/>
          <w:sz w:val="32"/>
          <w:szCs w:val="32"/>
        </w:rPr>
      </w:pPr>
      <w:r>
        <w:rPr>
          <w:rFonts w:hint="eastAsia" w:ascii="楷体_GB2312" w:eastAsia="楷体_GB2312"/>
          <w:sz w:val="32"/>
          <w:szCs w:val="32"/>
        </w:rPr>
        <w:t>（三）申报方式。</w:t>
      </w:r>
      <w:r>
        <w:rPr>
          <w:rFonts w:hint="eastAsia" w:ascii="仿宋_GB2312" w:hAnsi="宋体" w:cs="宋体"/>
          <w:sz w:val="32"/>
          <w:szCs w:val="32"/>
        </w:rPr>
        <w:t>项目申报日期截止到2022年5月</w:t>
      </w:r>
      <w:r>
        <w:rPr>
          <w:rFonts w:hint="eastAsia" w:ascii="仿宋_GB2312" w:hAnsi="宋体" w:cs="宋体"/>
          <w:sz w:val="32"/>
          <w:szCs w:val="32"/>
          <w:lang w:val="en-US" w:eastAsia="zh-CN"/>
        </w:rPr>
        <w:t>13</w:t>
      </w:r>
      <w:r>
        <w:rPr>
          <w:rFonts w:hint="eastAsia" w:ascii="仿宋_GB2312" w:hAnsi="宋体" w:cs="宋体"/>
          <w:sz w:val="32"/>
          <w:szCs w:val="32"/>
        </w:rPr>
        <w:t>日</w:t>
      </w:r>
      <w:r>
        <w:rPr>
          <w:rFonts w:hint="eastAsia" w:ascii="仿宋_GB2312" w:hAnsi="宋体" w:cs="宋体"/>
          <w:sz w:val="32"/>
          <w:szCs w:val="32"/>
          <w:lang w:eastAsia="zh-CN"/>
        </w:rPr>
        <w:t>（</w:t>
      </w:r>
      <w:r>
        <w:rPr>
          <w:rFonts w:hint="eastAsia" w:ascii="仿宋_GB2312" w:hAnsi="宋体" w:cs="宋体"/>
          <w:sz w:val="32"/>
          <w:szCs w:val="32"/>
          <w:lang w:val="en-US" w:eastAsia="zh-CN"/>
        </w:rPr>
        <w:t>星期五</w:t>
      </w:r>
      <w:r>
        <w:rPr>
          <w:rFonts w:hint="eastAsia" w:ascii="仿宋_GB2312" w:hAnsi="宋体" w:cs="宋体"/>
          <w:sz w:val="32"/>
          <w:szCs w:val="32"/>
          <w:lang w:eastAsia="zh-CN"/>
        </w:rPr>
        <w:t>）</w:t>
      </w:r>
      <w:r>
        <w:rPr>
          <w:rFonts w:hint="eastAsia" w:ascii="仿宋_GB2312" w:hAnsi="宋体" w:cs="宋体"/>
          <w:sz w:val="32"/>
          <w:szCs w:val="32"/>
        </w:rPr>
        <w:t>，逾期不予受理。请各申报单位规范材料格式，项目申请书均以“单位+项目负责人姓名”（如xx大学赵xx）作为文档名称，项目统计表（见附件2）均以“</w:t>
      </w:r>
      <w:r>
        <w:rPr>
          <w:rFonts w:hint="eastAsia" w:ascii="仿宋_GB2312"/>
          <w:sz w:val="32"/>
          <w:szCs w:val="32"/>
        </w:rPr>
        <w:t>单位+统计表+申报数量”（如xx大学统计表20项）</w:t>
      </w:r>
      <w:r>
        <w:rPr>
          <w:rFonts w:hint="eastAsia" w:ascii="仿宋_GB2312" w:hAnsi="宋体" w:cs="宋体"/>
          <w:sz w:val="32"/>
          <w:szCs w:val="32"/>
        </w:rPr>
        <w:t>作为文档名称。</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ascii="仿宋_GB2312"/>
          <w:sz w:val="32"/>
          <w:szCs w:val="32"/>
        </w:rPr>
      </w:pPr>
      <w:r>
        <w:rPr>
          <w:rFonts w:hint="eastAsia" w:ascii="仿宋_GB2312"/>
          <w:sz w:val="32"/>
          <w:szCs w:val="32"/>
        </w:rPr>
        <w:t>请各申报单位汇总本单位项目申请书及项目统计表电子版，统一发送至市社科规划办邮箱qdskghb2014@126.com。联系人：邢秋会，85913331；地址：青岛市市南区香港中路11号市级机关1号办公楼707室。</w:t>
      </w:r>
    </w:p>
    <w:p>
      <w:pPr>
        <w:keepNext w:val="0"/>
        <w:keepLines w:val="0"/>
        <w:pageBreakBefore w:val="0"/>
        <w:kinsoku/>
        <w:wordWrap/>
        <w:overflowPunct/>
        <w:topLinePunct w:val="0"/>
        <w:autoSpaceDE/>
        <w:autoSpaceDN/>
        <w:bidi w:val="0"/>
        <w:adjustRightInd w:val="0"/>
        <w:snapToGrid w:val="0"/>
        <w:spacing w:line="570" w:lineRule="exact"/>
        <w:textAlignment w:val="auto"/>
        <w:rPr>
          <w:rFonts w:ascii="仿宋_GB2312"/>
          <w:sz w:val="32"/>
          <w:szCs w:val="32"/>
        </w:rPr>
      </w:pPr>
    </w:p>
    <w:p>
      <w:pPr>
        <w:keepNext w:val="0"/>
        <w:keepLines w:val="0"/>
        <w:pageBreakBefore w:val="0"/>
        <w:kinsoku/>
        <w:wordWrap/>
        <w:overflowPunct/>
        <w:topLinePunct w:val="0"/>
        <w:autoSpaceDE/>
        <w:autoSpaceDN/>
        <w:bidi w:val="0"/>
        <w:adjustRightInd w:val="0"/>
        <w:snapToGrid w:val="0"/>
        <w:spacing w:line="570" w:lineRule="exact"/>
        <w:ind w:right="7" w:firstLine="5164" w:firstLineChars="1614"/>
        <w:textAlignment w:val="auto"/>
        <w:rPr>
          <w:rFonts w:ascii="仿宋_GB2312"/>
          <w:sz w:val="32"/>
          <w:szCs w:val="32"/>
        </w:rPr>
      </w:pPr>
      <w:r>
        <w:rPr>
          <w:rFonts w:hint="eastAsia" w:ascii="仿宋_GB2312"/>
          <w:sz w:val="32"/>
          <w:szCs w:val="32"/>
        </w:rPr>
        <w:t>中共青岛市委宣传部</w:t>
      </w:r>
    </w:p>
    <w:p>
      <w:pPr>
        <w:keepNext w:val="0"/>
        <w:keepLines w:val="0"/>
        <w:pageBreakBefore w:val="0"/>
        <w:kinsoku/>
        <w:wordWrap/>
        <w:overflowPunct/>
        <w:topLinePunct w:val="0"/>
        <w:autoSpaceDE/>
        <w:autoSpaceDN/>
        <w:bidi w:val="0"/>
        <w:adjustRightInd w:val="0"/>
        <w:snapToGrid w:val="0"/>
        <w:spacing w:line="570" w:lineRule="exact"/>
        <w:ind w:right="2" w:firstLine="5760" w:firstLineChars="1800"/>
        <w:textAlignment w:val="auto"/>
        <w:rPr>
          <w:rFonts w:ascii="仿宋_GB2312"/>
          <w:sz w:val="32"/>
          <w:szCs w:val="32"/>
        </w:rPr>
      </w:pPr>
      <w:r>
        <w:rPr>
          <w:rFonts w:hint="eastAsia" w:ascii="仿宋_GB2312"/>
          <w:sz w:val="32"/>
          <w:szCs w:val="32"/>
        </w:rPr>
        <w:t>2022年4月</w:t>
      </w:r>
      <w:r>
        <w:rPr>
          <w:rFonts w:hint="eastAsia" w:ascii="仿宋_GB2312"/>
          <w:sz w:val="32"/>
          <w:szCs w:val="32"/>
          <w:lang w:val="en-US" w:eastAsia="zh-CN"/>
        </w:rPr>
        <w:t>26</w:t>
      </w:r>
      <w:r>
        <w:rPr>
          <w:rFonts w:hint="eastAsia" w:ascii="仿宋_GB2312"/>
          <w:sz w:val="32"/>
          <w:szCs w:val="32"/>
        </w:rPr>
        <w:t>日</w:t>
      </w:r>
    </w:p>
    <w:p>
      <w:pPr>
        <w:keepNext w:val="0"/>
        <w:keepLines w:val="0"/>
        <w:pageBreakBefore w:val="0"/>
        <w:kinsoku/>
        <w:wordWrap/>
        <w:overflowPunct/>
        <w:topLinePunct w:val="0"/>
        <w:autoSpaceDE/>
        <w:autoSpaceDN/>
        <w:bidi w:val="0"/>
        <w:spacing w:line="570" w:lineRule="exact"/>
        <w:textAlignment w:val="auto"/>
      </w:pPr>
      <w:bookmarkStart w:id="0" w:name="_GoBack"/>
      <w:bookmarkEnd w:id="0"/>
    </w:p>
    <w:sectPr>
      <w:headerReference r:id="rId3" w:type="default"/>
      <w:footerReference r:id="rId4" w:type="default"/>
      <w:footerReference r:id="rId5" w:type="even"/>
      <w:pgSz w:w="11906" w:h="16838"/>
      <w:pgMar w:top="2098" w:right="1474" w:bottom="1985" w:left="1588" w:header="851" w:footer="1247"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文星标宋">
    <w:altName w:val="微软雅黑"/>
    <w:panose1 w:val="0201060900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ordWrap w:val="0"/>
      <w:ind w:left="360" w:right="90"/>
      <w:jc w:val="right"/>
      <w:rPr>
        <w:rFonts w:ascii="宋体" w:hAnsi="宋体" w:eastAsia="宋体"/>
        <w:sz w:val="28"/>
        <w:szCs w:val="28"/>
      </w:rPr>
    </w:pPr>
    <w:r>
      <w:rPr>
        <w:rFonts w:hint="eastAsia" w:ascii="宋体" w:hAnsi="宋体" w:eastAsia="宋体"/>
        <w:sz w:val="28"/>
        <w:szCs w:val="28"/>
      </w:rPr>
      <w:t>—</w:t>
    </w:r>
    <w:r>
      <w:rPr>
        <w:rFonts w:ascii="宋体" w:hAnsi="宋体" w:eastAsia="宋体"/>
        <w:sz w:val="28"/>
        <w:szCs w:val="28"/>
      </w:rPr>
      <w:t xml:space="preserve"> </w:t>
    </w:r>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lang w:val="zh-CN"/>
      </w:rPr>
      <w:t>5</w:t>
    </w:r>
    <w:r>
      <w:rPr>
        <w:rFonts w:ascii="宋体" w:hAnsi="宋体" w:eastAsia="宋体"/>
        <w:sz w:val="28"/>
        <w:szCs w:val="28"/>
      </w:rPr>
      <w:fldChar w:fldCharType="end"/>
    </w:r>
    <w:r>
      <w:rPr>
        <w:rFonts w:hint="eastAsia" w:ascii="宋体" w:hAnsi="宋体" w:eastAsia="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宋体" w:hAnsi="宋体" w:eastAsia="宋体"/>
        <w:sz w:val="28"/>
        <w:szCs w:val="28"/>
      </w:rPr>
    </w:pPr>
    <w:r>
      <w:rPr>
        <w:rFonts w:hint="eastAsia" w:ascii="宋体" w:hAnsi="宋体" w:eastAsia="宋体"/>
        <w:sz w:val="28"/>
        <w:szCs w:val="28"/>
      </w:rPr>
      <w:t>—</w:t>
    </w:r>
    <w:r>
      <w:rPr>
        <w:rFonts w:ascii="宋体" w:hAnsi="宋体" w:eastAsia="宋体"/>
        <w:sz w:val="28"/>
        <w:szCs w:val="28"/>
      </w:rPr>
      <w:t xml:space="preserve"> </w:t>
    </w:r>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lang w:val="zh-CN"/>
      </w:rPr>
      <w:t>6</w:t>
    </w:r>
    <w:r>
      <w:rPr>
        <w:rFonts w:ascii="宋体" w:hAnsi="宋体" w:eastAsia="宋体"/>
        <w:sz w:val="28"/>
        <w:szCs w:val="28"/>
      </w:rPr>
      <w:fldChar w:fldCharType="end"/>
    </w:r>
    <w:r>
      <w:rPr>
        <w:rFonts w:hint="eastAsia" w:ascii="宋体" w:hAnsi="宋体" w:eastAsia="宋体"/>
        <w:sz w:val="28"/>
        <w:szCs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9B0644A"/>
    <w:multiLevelType w:val="singleLevel"/>
    <w:tmpl w:val="19B0644A"/>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nforcement="0"/>
  <w:defaultTabStop w:val="420"/>
  <w:evenAndOddHeaders w:val="1"/>
  <w:drawingGridHorizontalSpacing w:val="3"/>
  <w:drawingGridVerticalSpacing w:val="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2NTZkMjc5ZDZhZTdkNjc1YjU3MjllMjIwNmVkNDgifQ=="/>
  </w:docVars>
  <w:rsids>
    <w:rsidRoot w:val="00BE5E19"/>
    <w:rsid w:val="00001864"/>
    <w:rsid w:val="00011CEF"/>
    <w:rsid w:val="0002310E"/>
    <w:rsid w:val="00055D07"/>
    <w:rsid w:val="00080A20"/>
    <w:rsid w:val="000D5A7A"/>
    <w:rsid w:val="0010377E"/>
    <w:rsid w:val="0012127F"/>
    <w:rsid w:val="00135448"/>
    <w:rsid w:val="0013597D"/>
    <w:rsid w:val="001550CA"/>
    <w:rsid w:val="001A4CEE"/>
    <w:rsid w:val="001C2478"/>
    <w:rsid w:val="001D6913"/>
    <w:rsid w:val="001F6C92"/>
    <w:rsid w:val="00206F0A"/>
    <w:rsid w:val="00227B01"/>
    <w:rsid w:val="00250D00"/>
    <w:rsid w:val="00264CA1"/>
    <w:rsid w:val="002C4BE5"/>
    <w:rsid w:val="002E7194"/>
    <w:rsid w:val="002F0BDB"/>
    <w:rsid w:val="00310F58"/>
    <w:rsid w:val="003361CA"/>
    <w:rsid w:val="00387F94"/>
    <w:rsid w:val="003A4F47"/>
    <w:rsid w:val="003B6B4A"/>
    <w:rsid w:val="003C0DF7"/>
    <w:rsid w:val="003F1B61"/>
    <w:rsid w:val="00481316"/>
    <w:rsid w:val="00490169"/>
    <w:rsid w:val="004C0F78"/>
    <w:rsid w:val="004D76AD"/>
    <w:rsid w:val="00520F6B"/>
    <w:rsid w:val="00555929"/>
    <w:rsid w:val="00566C99"/>
    <w:rsid w:val="00573005"/>
    <w:rsid w:val="00584D2A"/>
    <w:rsid w:val="005B5C26"/>
    <w:rsid w:val="005C06A7"/>
    <w:rsid w:val="005D6489"/>
    <w:rsid w:val="005D6DFD"/>
    <w:rsid w:val="005F7427"/>
    <w:rsid w:val="00606006"/>
    <w:rsid w:val="00610EE1"/>
    <w:rsid w:val="00656A57"/>
    <w:rsid w:val="006D191D"/>
    <w:rsid w:val="006D50AD"/>
    <w:rsid w:val="006F3F18"/>
    <w:rsid w:val="006F62B8"/>
    <w:rsid w:val="007114A2"/>
    <w:rsid w:val="0075642B"/>
    <w:rsid w:val="00767EBD"/>
    <w:rsid w:val="00783069"/>
    <w:rsid w:val="007849AF"/>
    <w:rsid w:val="00797142"/>
    <w:rsid w:val="007C1BD7"/>
    <w:rsid w:val="007C31DF"/>
    <w:rsid w:val="007F4705"/>
    <w:rsid w:val="00831D9D"/>
    <w:rsid w:val="008501CF"/>
    <w:rsid w:val="008570AC"/>
    <w:rsid w:val="00911183"/>
    <w:rsid w:val="00925AE8"/>
    <w:rsid w:val="009B44D9"/>
    <w:rsid w:val="009E2C86"/>
    <w:rsid w:val="00A071FA"/>
    <w:rsid w:val="00A253D7"/>
    <w:rsid w:val="00A44A66"/>
    <w:rsid w:val="00A62ED9"/>
    <w:rsid w:val="00B2513C"/>
    <w:rsid w:val="00B2636B"/>
    <w:rsid w:val="00B426DD"/>
    <w:rsid w:val="00BE5E19"/>
    <w:rsid w:val="00BF0EFD"/>
    <w:rsid w:val="00C33E63"/>
    <w:rsid w:val="00C36FB0"/>
    <w:rsid w:val="00C608F2"/>
    <w:rsid w:val="00C6134B"/>
    <w:rsid w:val="00C67A72"/>
    <w:rsid w:val="00C83C82"/>
    <w:rsid w:val="00C95306"/>
    <w:rsid w:val="00C968C3"/>
    <w:rsid w:val="00CA2A60"/>
    <w:rsid w:val="00CB22A3"/>
    <w:rsid w:val="00CD4D19"/>
    <w:rsid w:val="00D122EF"/>
    <w:rsid w:val="00D553C4"/>
    <w:rsid w:val="00DA1617"/>
    <w:rsid w:val="00DA33ED"/>
    <w:rsid w:val="00DC1CA7"/>
    <w:rsid w:val="00DE0891"/>
    <w:rsid w:val="00DE4AC1"/>
    <w:rsid w:val="00DF5BD1"/>
    <w:rsid w:val="00E00A00"/>
    <w:rsid w:val="00E26A1C"/>
    <w:rsid w:val="00E47F6B"/>
    <w:rsid w:val="00E6021A"/>
    <w:rsid w:val="00E779D2"/>
    <w:rsid w:val="00E93216"/>
    <w:rsid w:val="00E95662"/>
    <w:rsid w:val="00ED7D60"/>
    <w:rsid w:val="00F572EF"/>
    <w:rsid w:val="00F63235"/>
    <w:rsid w:val="0108681E"/>
    <w:rsid w:val="016A3D4D"/>
    <w:rsid w:val="01991AD6"/>
    <w:rsid w:val="0310042B"/>
    <w:rsid w:val="0322278C"/>
    <w:rsid w:val="0395297B"/>
    <w:rsid w:val="0715212E"/>
    <w:rsid w:val="0732017D"/>
    <w:rsid w:val="07AA7203"/>
    <w:rsid w:val="07FA5BD9"/>
    <w:rsid w:val="09D945DF"/>
    <w:rsid w:val="0AFF7FFB"/>
    <w:rsid w:val="0B02073E"/>
    <w:rsid w:val="0B7565ED"/>
    <w:rsid w:val="0C7A1DCF"/>
    <w:rsid w:val="0D462828"/>
    <w:rsid w:val="0DC055B3"/>
    <w:rsid w:val="0E807E56"/>
    <w:rsid w:val="11782338"/>
    <w:rsid w:val="11A713D1"/>
    <w:rsid w:val="11DC40BE"/>
    <w:rsid w:val="11F12EFC"/>
    <w:rsid w:val="12CA14DB"/>
    <w:rsid w:val="14056130"/>
    <w:rsid w:val="15656F69"/>
    <w:rsid w:val="161B2B18"/>
    <w:rsid w:val="169C162C"/>
    <w:rsid w:val="17AF120F"/>
    <w:rsid w:val="186E685B"/>
    <w:rsid w:val="18C53484"/>
    <w:rsid w:val="18CE2D61"/>
    <w:rsid w:val="19470B79"/>
    <w:rsid w:val="1B151334"/>
    <w:rsid w:val="1C831259"/>
    <w:rsid w:val="1C8C5947"/>
    <w:rsid w:val="1D4D284A"/>
    <w:rsid w:val="1D855738"/>
    <w:rsid w:val="1EBC1566"/>
    <w:rsid w:val="1F5D765B"/>
    <w:rsid w:val="1FD74693"/>
    <w:rsid w:val="1FF74D6A"/>
    <w:rsid w:val="20C3453B"/>
    <w:rsid w:val="215916C8"/>
    <w:rsid w:val="218D2584"/>
    <w:rsid w:val="22377968"/>
    <w:rsid w:val="22A6166E"/>
    <w:rsid w:val="24642214"/>
    <w:rsid w:val="24F71501"/>
    <w:rsid w:val="250A32A1"/>
    <w:rsid w:val="25A34A7D"/>
    <w:rsid w:val="25D416FA"/>
    <w:rsid w:val="26A766D5"/>
    <w:rsid w:val="26E835AA"/>
    <w:rsid w:val="2733314F"/>
    <w:rsid w:val="27966500"/>
    <w:rsid w:val="27F163B7"/>
    <w:rsid w:val="28027615"/>
    <w:rsid w:val="28231668"/>
    <w:rsid w:val="287D79CF"/>
    <w:rsid w:val="29CD16A4"/>
    <w:rsid w:val="2A1D298A"/>
    <w:rsid w:val="2AD16089"/>
    <w:rsid w:val="2B8425C3"/>
    <w:rsid w:val="2BCD5B0E"/>
    <w:rsid w:val="2BD403D5"/>
    <w:rsid w:val="2C6D1A37"/>
    <w:rsid w:val="2C983ECC"/>
    <w:rsid w:val="2D6013BF"/>
    <w:rsid w:val="2D97732E"/>
    <w:rsid w:val="2D9E3FA7"/>
    <w:rsid w:val="2E4B502A"/>
    <w:rsid w:val="2FA53B89"/>
    <w:rsid w:val="313D71FE"/>
    <w:rsid w:val="31CC0DBF"/>
    <w:rsid w:val="32CB29C7"/>
    <w:rsid w:val="32F24F91"/>
    <w:rsid w:val="37FC4DE7"/>
    <w:rsid w:val="3817130A"/>
    <w:rsid w:val="381D369E"/>
    <w:rsid w:val="39E30875"/>
    <w:rsid w:val="3A6B0693"/>
    <w:rsid w:val="3A777A38"/>
    <w:rsid w:val="3B02185C"/>
    <w:rsid w:val="3C87423C"/>
    <w:rsid w:val="3D712593"/>
    <w:rsid w:val="3E410E60"/>
    <w:rsid w:val="3FE0545E"/>
    <w:rsid w:val="41655FC4"/>
    <w:rsid w:val="419C23CD"/>
    <w:rsid w:val="41A01647"/>
    <w:rsid w:val="42210CB8"/>
    <w:rsid w:val="42675C80"/>
    <w:rsid w:val="427F57B7"/>
    <w:rsid w:val="42A1526D"/>
    <w:rsid w:val="42B07DB7"/>
    <w:rsid w:val="432B6CC3"/>
    <w:rsid w:val="434B2E22"/>
    <w:rsid w:val="45EA013B"/>
    <w:rsid w:val="46732A3D"/>
    <w:rsid w:val="47D41596"/>
    <w:rsid w:val="47F51267"/>
    <w:rsid w:val="48522B8A"/>
    <w:rsid w:val="48756A0E"/>
    <w:rsid w:val="489973AA"/>
    <w:rsid w:val="491826B3"/>
    <w:rsid w:val="49AC244C"/>
    <w:rsid w:val="49F4316A"/>
    <w:rsid w:val="4A005B70"/>
    <w:rsid w:val="4A431C71"/>
    <w:rsid w:val="4B63494F"/>
    <w:rsid w:val="4BC44173"/>
    <w:rsid w:val="4C2A6778"/>
    <w:rsid w:val="4C907C54"/>
    <w:rsid w:val="4C9541E2"/>
    <w:rsid w:val="4CBF31A5"/>
    <w:rsid w:val="4D4A7DDB"/>
    <w:rsid w:val="4D9364DD"/>
    <w:rsid w:val="4E5C5F00"/>
    <w:rsid w:val="4E5E72B8"/>
    <w:rsid w:val="50CE6F9F"/>
    <w:rsid w:val="51D41635"/>
    <w:rsid w:val="52661652"/>
    <w:rsid w:val="5266383D"/>
    <w:rsid w:val="53043BB1"/>
    <w:rsid w:val="540472F5"/>
    <w:rsid w:val="54245114"/>
    <w:rsid w:val="54F84AFD"/>
    <w:rsid w:val="565E0A41"/>
    <w:rsid w:val="567A44BE"/>
    <w:rsid w:val="56897FB1"/>
    <w:rsid w:val="57A44840"/>
    <w:rsid w:val="595F09C1"/>
    <w:rsid w:val="5A530E40"/>
    <w:rsid w:val="5B4E7CA3"/>
    <w:rsid w:val="5B54037D"/>
    <w:rsid w:val="5B916637"/>
    <w:rsid w:val="5C096639"/>
    <w:rsid w:val="5D2118F9"/>
    <w:rsid w:val="5D3A6CCE"/>
    <w:rsid w:val="5DB31773"/>
    <w:rsid w:val="5E8D7E76"/>
    <w:rsid w:val="6071713B"/>
    <w:rsid w:val="60B20D02"/>
    <w:rsid w:val="60D574CE"/>
    <w:rsid w:val="60DC64AE"/>
    <w:rsid w:val="633D5629"/>
    <w:rsid w:val="64653AD9"/>
    <w:rsid w:val="66491F70"/>
    <w:rsid w:val="67D6379A"/>
    <w:rsid w:val="692327E7"/>
    <w:rsid w:val="69E11A70"/>
    <w:rsid w:val="6AC60069"/>
    <w:rsid w:val="6B4D1BFC"/>
    <w:rsid w:val="6B6320BC"/>
    <w:rsid w:val="6BDA65B5"/>
    <w:rsid w:val="6BE14B04"/>
    <w:rsid w:val="6D6668A6"/>
    <w:rsid w:val="6D671B62"/>
    <w:rsid w:val="6E140A5B"/>
    <w:rsid w:val="6E6B0F32"/>
    <w:rsid w:val="6EB7241F"/>
    <w:rsid w:val="6FDC6891"/>
    <w:rsid w:val="6FEB19B5"/>
    <w:rsid w:val="70486651"/>
    <w:rsid w:val="70935737"/>
    <w:rsid w:val="71FD478F"/>
    <w:rsid w:val="72B13004"/>
    <w:rsid w:val="76BC78F4"/>
    <w:rsid w:val="76D9137A"/>
    <w:rsid w:val="786952B8"/>
    <w:rsid w:val="790A1CC0"/>
    <w:rsid w:val="795E4C4B"/>
    <w:rsid w:val="79CD59E4"/>
    <w:rsid w:val="7A204BD3"/>
    <w:rsid w:val="7AB67549"/>
    <w:rsid w:val="7B725D09"/>
    <w:rsid w:val="7BDE72BB"/>
    <w:rsid w:val="7CE80867"/>
    <w:rsid w:val="7D6E05EC"/>
    <w:rsid w:val="7DA06EE4"/>
    <w:rsid w:val="7E013087"/>
    <w:rsid w:val="7E294F89"/>
    <w:rsid w:val="7E70379F"/>
    <w:rsid w:val="7E8C1B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qFormat="1" w:unhideWhenUsed="0" w:uiPriority="0" w:semiHidden="0"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4"/>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adjustRightInd w:val="0"/>
      <w:jc w:val="left"/>
      <w:textAlignment w:val="baseline"/>
    </w:pPr>
    <w:rPr>
      <w:rFonts w:eastAsia="宋体"/>
      <w:sz w:val="21"/>
      <w:szCs w:val="20"/>
    </w:rPr>
  </w:style>
  <w:style w:type="paragraph" w:styleId="3">
    <w:name w:val="Block Text"/>
    <w:basedOn w:val="1"/>
    <w:qFormat/>
    <w:uiPriority w:val="0"/>
    <w:pPr>
      <w:adjustRightInd w:val="0"/>
      <w:spacing w:line="312" w:lineRule="atLeast"/>
      <w:ind w:left="-3" w:right="2" w:rightChars="2" w:hanging="3"/>
    </w:pPr>
    <w:rPr>
      <w:rFonts w:hint="eastAsia" w:ascii="仿宋_GB2312"/>
      <w:kern w:val="0"/>
      <w:sz w:val="30"/>
      <w:szCs w:val="20"/>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jc w:val="left"/>
    </w:pPr>
    <w:rPr>
      <w:kern w:val="0"/>
      <w:sz w:val="24"/>
    </w:rPr>
  </w:style>
  <w:style w:type="table" w:styleId="8">
    <w:name w:val="Table Grid"/>
    <w:basedOn w:val="7"/>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0">
    <w:name w:val="Hyperlink"/>
    <w:qFormat/>
    <w:uiPriority w:val="0"/>
    <w:rPr>
      <w:color w:val="0000FF"/>
      <w:u w:val="single"/>
    </w:rPr>
  </w:style>
  <w:style w:type="character" w:customStyle="1" w:styleId="11">
    <w:name w:val="页眉 Char"/>
    <w:link w:val="5"/>
    <w:semiHidden/>
    <w:qFormat/>
    <w:uiPriority w:val="99"/>
    <w:rPr>
      <w:rFonts w:ascii="Times New Roman" w:hAnsi="Times New Roman" w:eastAsia="仿宋_GB2312"/>
      <w:kern w:val="2"/>
      <w:sz w:val="18"/>
      <w:szCs w:val="18"/>
    </w:rPr>
  </w:style>
  <w:style w:type="character" w:customStyle="1" w:styleId="12">
    <w:name w:val="页脚 Char"/>
    <w:link w:val="4"/>
    <w:qFormat/>
    <w:uiPriority w:val="99"/>
    <w:rPr>
      <w:rFonts w:ascii="Times New Roman" w:hAnsi="Times New Roman" w:eastAsia="仿宋_GB2312"/>
      <w:kern w:val="2"/>
      <w:sz w:val="18"/>
      <w:szCs w:val="18"/>
    </w:rPr>
  </w:style>
  <w:style w:type="paragraph" w:customStyle="1" w:styleId="13">
    <w:name w:val="样式"/>
    <w:unhideWhenUsed/>
    <w:qFormat/>
    <w:uiPriority w:val="0"/>
    <w:pPr>
      <w:widowControl w:val="0"/>
      <w:autoSpaceDE w:val="0"/>
      <w:autoSpaceDN w:val="0"/>
      <w:adjustRightInd w:val="0"/>
    </w:pPr>
    <w:rPr>
      <w:rFonts w:hint="eastAsia" w:ascii="宋体" w:hAnsi="宋体" w:eastAsia="宋体" w:cs="Times New Roman"/>
      <w:sz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26700;&#38754;\2020&#24180;&#27169;&#26495;\0A4&#23459;&#20256;&#37096;&#25991;&#22836;-&#32593;&#2145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0A4宣传部文头-网发</Template>
  <Company>微软中国</Company>
  <Pages>20</Pages>
  <Words>1071</Words>
  <Characters>6107</Characters>
  <Lines>50</Lines>
  <Paragraphs>14</Paragraphs>
  <TotalTime>179</TotalTime>
  <ScaleCrop>false</ScaleCrop>
  <LinksUpToDate>false</LinksUpToDate>
  <CharactersWithSpaces>7164</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2022-04-25T00:48:00Z</dcterms:created>
  <dc:creator>Administrator</dc:creator>
  <cp:lastModifiedBy>航崽</cp:lastModifiedBy>
  <cp:lastPrinted>2022-04-26T06:45:00Z</cp:lastPrinted>
  <dcterms:modified xsi:type="dcterms:W3CDTF">2022-04-27T00:57:54Z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B463595B5A874262BD1B61387EB64687</vt:lpwstr>
  </property>
</Properties>
</file>